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50"/>
        <w:rPr>
          <w:rFonts w:hint="eastAsia" w:cs="仿宋" w:asciiTheme="majorEastAsia" w:hAnsiTheme="majorEastAsia" w:eastAsiaTheme="majorEastAsia"/>
          <w:sz w:val="32"/>
          <w:szCs w:val="32"/>
        </w:rPr>
      </w:pPr>
      <w:bookmarkStart w:id="0" w:name="_Toc30094"/>
    </w:p>
    <w:p>
      <w:pPr>
        <w:jc w:val="center"/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</w:pPr>
      <w:r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  <w:t>梧州市中医医院数据脱敏服务项目</w:t>
      </w:r>
    </w:p>
    <w:p>
      <w:pPr>
        <w:jc w:val="center"/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  <w:sectPr>
          <w:footerReference r:id="rId3" w:type="default"/>
          <w:pgSz w:w="11906" w:h="16838"/>
          <w:pgMar w:top="1928" w:right="1531" w:bottom="1757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  <w:t>技术参数附件</w:t>
      </w:r>
    </w:p>
    <w:bookmarkEnd w:id="0"/>
    <w:p>
      <w:pPr>
        <w:pStyle w:val="10"/>
        <w:widowControl/>
        <w:adjustRightInd w:val="0"/>
        <w:snapToGrid w:val="0"/>
        <w:spacing w:beforeAutospacing="0" w:after="40" w:afterAutospacing="0" w:line="320" w:lineRule="exact"/>
        <w:rPr>
          <w:rFonts w:hint="eastAsia" w:cs="仿宋" w:asciiTheme="majorEastAsia" w:hAnsiTheme="majorEastAsia" w:eastAsiaTheme="majorEastAsia"/>
          <w:sz w:val="32"/>
          <w:szCs w:val="32"/>
          <w:shd w:val="clear" w:color="auto" w:fill="FFFFFF"/>
          <w:lang w:bidi="ar"/>
        </w:rPr>
      </w:pPr>
      <w:r>
        <w:rPr>
          <w:rFonts w:hint="eastAsia" w:cs="仿宋" w:asciiTheme="majorEastAsia" w:hAnsiTheme="majorEastAsia" w:eastAsiaTheme="majorEastAsia"/>
          <w:sz w:val="32"/>
          <w:szCs w:val="32"/>
          <w:shd w:val="clear" w:color="auto" w:fill="FFFFFF"/>
          <w:lang w:bidi="ar"/>
        </w:rPr>
        <w:t>一、项目概况：</w:t>
      </w:r>
    </w:p>
    <w:p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随着《中华人民共和国个人信息保护法》《数据安全法》及《网络安全法》等法律法规的深入推进，医疗机构作为敏感数据密集的行业主体，需严格履行患者隐私保护和数据安全责任。医院场景中，患者诊疗记录、电子病历、健康档案等数据涉及个人隐私和医疗机密，在临床研究、数据共享、系统开发测试等场景中，需通过数据脱敏技术对原始信息进行去标识化处理，消除直接或间接的身份识别风险。数据脱敏服务通过数据脱敏的技术手段，有效解决数据使用与隐私保护的矛盾，确保数据在合法合规的前提下支撑科研分析、跨机构协作及业务系统开发，规避数据泄露引发的法律与声誉风险。</w:t>
      </w:r>
    </w:p>
    <w:p>
      <w:pPr>
        <w:spacing w:line="360" w:lineRule="auto"/>
        <w:ind w:firstLine="480" w:firstLineChars="200"/>
        <w:rPr>
          <w:rFonts w:hint="eastAsia" w:cs="仿宋" w:asciiTheme="majorEastAsia" w:hAnsiTheme="majorEastAsia" w:eastAsiaTheme="majorEastAsia"/>
          <w:color w:val="000000"/>
        </w:rPr>
      </w:pPr>
      <w:r>
        <w:rPr>
          <w:rFonts w:hint="eastAsia" w:cs="宋体" w:asciiTheme="majorEastAsia" w:hAnsiTheme="majorEastAsia" w:eastAsiaTheme="majorEastAsia"/>
          <w:sz w:val="24"/>
        </w:rPr>
        <w:t>项目建设以构建安全合规、灵活高效的数据脱敏服务为核心目标，覆盖院内HIS、LIS、EMR等核心业务系统的静态脱敏场景。通过部署智能化脱敏平台，达成数据分级分类管理、脱敏策略自动化执行及全流程闭环监控，确保对外提供的数据均符合三级等保及《医疗卫生机构网络安全管理办法》要求。项目实施后，医院数据共享周期缩短40%，支撑跨院区协作、医联体科研等业务的安全性提升90%，患者隐私投诉归零，同时助力医院通过国家级医疗健康信息互联互通测评，为智慧医院建设提供可信数据支撑。</w:t>
      </w:r>
    </w:p>
    <w:p>
      <w:pPr>
        <w:rPr>
          <w:rFonts w:hint="eastAsia" w:cs="宋体" w:asciiTheme="majorEastAsia" w:hAnsiTheme="majorEastAsia" w:eastAsiaTheme="majorEastAsia"/>
          <w:b w:val="0"/>
          <w:bCs/>
          <w:sz w:val="32"/>
          <w:szCs w:val="32"/>
        </w:rPr>
      </w:pPr>
      <w:bookmarkStart w:id="1" w:name="_Toc6426"/>
      <w:bookmarkStart w:id="2" w:name="_Toc30496"/>
      <w:bookmarkStart w:id="3" w:name="_Toc21144"/>
      <w:r>
        <w:rPr>
          <w:rFonts w:hint="eastAsia" w:cs="宋体" w:asciiTheme="majorEastAsia" w:hAnsiTheme="majorEastAsia" w:eastAsiaTheme="majorEastAsia"/>
          <w:b w:val="0"/>
          <w:bCs/>
          <w:sz w:val="32"/>
          <w:szCs w:val="32"/>
        </w:rPr>
        <w:br w:type="page"/>
      </w:r>
    </w:p>
    <w:p>
      <w:pPr>
        <w:pStyle w:val="4"/>
        <w:jc w:val="center"/>
        <w:rPr>
          <w:rFonts w:hint="eastAsia" w:cs="宋体" w:asciiTheme="majorEastAsia" w:hAnsiTheme="majorEastAsia" w:eastAsiaTheme="majorEastAsia"/>
          <w:b w:val="0"/>
          <w:bCs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 w:val="0"/>
          <w:bCs/>
          <w:sz w:val="32"/>
          <w:szCs w:val="32"/>
        </w:rPr>
        <w:t>1、需求参数响应表</w:t>
      </w:r>
      <w:bookmarkEnd w:id="1"/>
    </w:p>
    <w:tbl>
      <w:tblPr>
        <w:tblStyle w:val="12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62"/>
        <w:gridCol w:w="295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市场调研需求内容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响应内容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提供数据脱敏服务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电话咨询：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提供技术援助电话，解答采购人在使用中遇到的问题，及时为采购人提出解决问题的建议。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遇到使用或技术问题，电话咨询不能解决的，成交供应商应在2小时内到达现场进行处理，到达现场后2小时内排除故障，恢复正常使用。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数据源接入服务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提供脱敏数据源接入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，接入的对象包含且不限：Oracle、Sql Server、Mysql等主流关系型数据库，人大金仓、达梦、南大通用等国产关系型数据库，TiDB、GaussDB等数据仓库，Hive大数据平台，txt、csv、excel文本文件，oracle dmp（exp/expdp）、mysql dump（sql文件）、HDFS文件。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不限制数据库的数量，含30GB/h吞吐量授权，提供原厂至少一年服务。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55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敏感数据识别规则定制服务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提供敏感数据识别规则定制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包含且不限：中文姓名、英文姓名、姓名拼音、韩文姓名、身份证、银行卡、医师资格证书、医师职业证书、护照、军官证、港澳通行证、往来台湾通行证、永久居住证、企业营业执照、组织机构代码证、税务登记证、组织机构名称、医疗机构登记号、社会统一信用代码、开户许可证、证券代码、证券名称、基金名称、基金代码、英文公司名、电话号码、邮箱、邮编、金额、日期、地址、IP地址、车牌号码等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55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敏感数据脱敏策略定制服务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基于不用应用场景（包含且不限开发测试、医疗科研、数据提取等），提供相应的敏感数据脱敏策略定制服务。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55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敏感数据识别服务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基于接入服务对象，根据制定的敏感数据识别规则，提供敏感数据识别。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55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敏感数据脱敏服务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根据识别的敏感数据，结合应用场景定制的敏感数据脱敏策略，进行数据脱敏服务(包含数据子集抽取脱敏)，包含且不限数据库到数据库、数据库到文件、文件到文件、文件到数据库等方式。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556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非敏感数据及数据库对象迁移服务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根据相应的应用场景，敏感数据脱敏后，非敏感数据及数据库对象需要迁移到目标，形成完整的数据集使用，提供其迁移服务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，原厂服务不少于一年。</w:t>
            </w:r>
            <w:bookmarkStart w:id="4" w:name="_GoBack"/>
            <w:bookmarkEnd w:id="4"/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556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脱敏后数据验证服务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脱敏完成后，提供脱敏前、后表数据量、内容以及数据库对象比对。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556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敏感数据脱敏操作日志审计服务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脱敏操作后，提供详细的脱敏操作日志，便于审计查询，并可以将日志提供给第三方。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556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出具数据脱敏报表服务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对敏感数据的分布进行统计分析，选择统计的时间，并导出统计报表；展示敏感源总量、表格总量、敏感表格量、字段总量、敏感字段量。通过环形图统计表格以及字段的敏感数据占比，通过柱状图对创建的作业包含的敏感数据数量进行统计；展示脱敏源脱敏次数、数据源类型、敏感类型占比排名的TOP5；通过表格形式详细展示脱敏源敏感分析，包括脱敏源的表格总数、敏感表格数、字段总数等等，用户可以对每一项数据进行排序查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对脱敏作业的信息进行统计分析，自定义统计的时间段，并导出统计报表；展示运行作业数、运行总次数、处理数据总量、处理敏感数据量、共计错误数；通过柱状图对脱敏作业处理量、运行的时段、进行统计；展示运行次数、处理数据、处理敏感数据、作业平均用时、作业平均错误数、目标加载数据量分别排名TOP5的作业；通过表格形式详细展示脱敏作业分析，包括作业名称、运行次数、处理数据总量、处理敏感数据量等等，可以对每一项数据进行排序查看。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2"/>
      <w:bookmarkEnd w:id="3"/>
    </w:tbl>
    <w:p>
      <w:pPr>
        <w:spacing w:line="312" w:lineRule="auto"/>
        <w:jc w:val="both"/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</w:pPr>
    </w:p>
    <w:p>
      <w:pPr>
        <w:spacing w:line="312" w:lineRule="auto"/>
        <w:jc w:val="both"/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</w:pPr>
      <w:r>
        <w:rPr>
          <w:rFonts w:hint="eastAsia" w:cs="宋体" w:asciiTheme="majorEastAsia" w:hAnsiTheme="majorEastAsia" w:eastAsiaTheme="majorEastAsia"/>
          <w:b/>
          <w:bCs/>
          <w:sz w:val="48"/>
          <w:szCs w:val="48"/>
        </w:rPr>
        <w:t>梧州市中医医院数据脱敏服务价格表</w:t>
      </w:r>
    </w:p>
    <w:tbl>
      <w:tblPr>
        <w:tblStyle w:val="12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62"/>
        <w:gridCol w:w="1630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提供数据脱敏服务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电话咨询：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提供技术援助电话，解答采购人在使用中遇到的问题，及时为采购人提出解决问题的建议。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遇到使用或技术问题，电话咨询不能解决的，成交供应商应在2小时内到达现场进行处理，到达现场后2小时内排除故障，恢复正常使用。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4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（二）</w:t>
            </w:r>
          </w:p>
        </w:tc>
        <w:tc>
          <w:tcPr>
            <w:tcW w:w="5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数据源接入服务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提供脱敏数据源接入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，接入的对象包含且不限：Oracle、Sql Server、Mysql等主流关系型数据库，人大金仓、达梦、南大通用等国产关系型数据库，TiDB、GaussDB等数据仓库，Hive大数据平台，txt、csv、excel文本文件，oracle dmp（exp/expdp）、mysql dump（sql文件）、HDFS文件。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敏感数据识别规则定制服务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提供敏感数据识别规则定制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包含且不限：中文姓名、英文姓名、姓名拼音、韩文姓名、身份证、银行卡、医师资格证书、医师职业证书、护照、军官证、港澳通行证、往来台湾通行证、永久居住证、企业营业执照、组织机构代码证、税务登记证、组织机构名称、医疗机构登记号、社会统一信用代码、开户许可证、证券代码、证券名称、基金名称、基金代码、英文公司名、电话号码、邮箱、邮编、金额、日期、地址、IP地址、车牌号码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敏感数据脱敏策略定制服务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基于不用应用场景（包含且不限开发测试、医疗科研、数据提取等），提供相应的敏感数据脱敏策略定制服务。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敏感数据识别服务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基于接入服务对象，根据制定的敏感数据识别规则，提供敏感数据识别。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敏感数据脱敏服务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根据识别的敏感数据，结合应用场景定制的敏感数据脱敏策略，进行数据脱敏服务(包含数据子集抽取脱敏)，包含且不限数据库到数据库、数据库到文件、文件到文件、文件到数据库等方式。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非敏感数据及数据库对象迁移服务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根据相应的应用场景，敏感数据脱敏后，非敏感数据及数据库对象需要迁移到目标，形成完整的数据集使用，提供其迁移服务。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脱敏后数据验证服务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脱敏完成后，提供脱敏前、后表数据量、内容以及数据库对象比对。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敏感数据脱敏操作日志审计服务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脱敏操作后，提供详细的脱敏操作日志，便于审计查询，并可以将日志提供给第三方。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（三）</w:t>
            </w:r>
          </w:p>
        </w:tc>
        <w:tc>
          <w:tcPr>
            <w:tcW w:w="55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出具数据脱敏报表服务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对敏感数据的分布进行统计分析，选择统计的时间，并导出统计报表；展示敏感源总量、表格总量、敏感表格量、字段总量、敏感字段量。通过环形图统计表格以及字段的敏感数据占比，通过柱状图对创建的作业包含的敏感数据数量进行统计；展示脱敏源脱敏次数、数据源类型、敏感类型占比排名的TOP5；通过表格形式详细展示脱敏源敏感分析，包括脱敏源的表格总数、敏感表格数、字段总数等等，用户可以对每一项数据进行排序查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对脱敏作业的信息进行统计分析，自定义统计的时间段，并导出统计报表；展示运行作业数、运行总次数、处理数据总量、处理敏感数据量、共计错误数；通过柱状图对脱敏作业处理量、运行的时段、进行统计；展示运行次数、处理数据、处理敏感数据、作业平均用时、作业平均错误数、目标加载数据量分别排名TOP5的作业；通过表格形式详细展示脱敏作业分析，包括作业名称、运行次数、处理数据总量、处理敏感数据量等等，可以对每一项数据进行排序查看。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spacing w:after="0" w:line="240" w:lineRule="auto"/>
        <w:rPr>
          <w:rFonts w:hint="eastAsia" w:asciiTheme="majorEastAsia" w:hAnsiTheme="majorEastAsia" w:eastAsiaTheme="majorEastAsia"/>
        </w:rPr>
      </w:pPr>
    </w:p>
    <w:sectPr>
      <w:footerReference r:id="rId4" w:type="default"/>
      <w:pgSz w:w="11906" w:h="16838"/>
      <w:pgMar w:top="1928" w:right="1531" w:bottom="1757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ZmVjNTEyOTE0NWMwZDY1OWNiMWM4MzIzYTg2MzYifQ=="/>
  </w:docVars>
  <w:rsids>
    <w:rsidRoot w:val="00A912CD"/>
    <w:rsid w:val="000E3FC3"/>
    <w:rsid w:val="00213CF6"/>
    <w:rsid w:val="006E2E27"/>
    <w:rsid w:val="008F329F"/>
    <w:rsid w:val="008F6EB2"/>
    <w:rsid w:val="00A912CD"/>
    <w:rsid w:val="00AE2CEA"/>
    <w:rsid w:val="00B60109"/>
    <w:rsid w:val="00C82B84"/>
    <w:rsid w:val="00CF51E4"/>
    <w:rsid w:val="00E214EC"/>
    <w:rsid w:val="00EE133C"/>
    <w:rsid w:val="00F025DF"/>
    <w:rsid w:val="017716F4"/>
    <w:rsid w:val="01875299"/>
    <w:rsid w:val="0198159D"/>
    <w:rsid w:val="01A31BC0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3700F3"/>
    <w:rsid w:val="554A23B2"/>
    <w:rsid w:val="555313D1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1F47B13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284AA6"/>
    <w:rsid w:val="6F772778"/>
    <w:rsid w:val="70C866F5"/>
    <w:rsid w:val="70D56CE6"/>
    <w:rsid w:val="70FA674D"/>
    <w:rsid w:val="714E555D"/>
    <w:rsid w:val="71704C61"/>
    <w:rsid w:val="718F158B"/>
    <w:rsid w:val="727C2D17"/>
    <w:rsid w:val="72F53670"/>
    <w:rsid w:val="73B60A1F"/>
    <w:rsid w:val="73E35476"/>
    <w:rsid w:val="740578E3"/>
    <w:rsid w:val="7427759D"/>
    <w:rsid w:val="759E3B4B"/>
    <w:rsid w:val="76DF08BF"/>
    <w:rsid w:val="77147E3D"/>
    <w:rsid w:val="77364257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  <w:rsid w:val="FFF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99"/>
    <w:pPr>
      <w:spacing w:after="120"/>
    </w:pPr>
    <w:rPr>
      <w:kern w:val="0"/>
      <w:sz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字符"/>
    <w:basedOn w:val="14"/>
    <w:link w:val="2"/>
    <w:qFormat/>
    <w:uiPriority w:val="99"/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550</Words>
  <Characters>560</Characters>
  <Lines>22</Lines>
  <Paragraphs>6</Paragraphs>
  <TotalTime>14</TotalTime>
  <ScaleCrop>false</ScaleCrop>
  <LinksUpToDate>false</LinksUpToDate>
  <CharactersWithSpaces>560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2025-03-21T00:01:00Z</dcterms:created>
  <dc:creator>Administrator</dc:creator>
  <cp:lastModifiedBy>吴浩正وليد</cp:lastModifiedBy>
  <cp:lastPrinted>2024-12-13T20:03:00Z</cp:lastPrinted>
  <dcterms:modified xsi:type="dcterms:W3CDTF">2025-03-21T07:26:43Z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7D94A994D91F46599A6553563311E021_13</vt:lpwstr>
  </property>
  <property fmtid="{D5CDD505-2E9C-101B-9397-08002B2CF9AE}" pid="4" name="KSOTemplateDocerSaveRecord">
    <vt:lpwstr>eyJoZGlkIjoiNzI1MzljODBiNDliMzEyMzFlZWNlN2EzYjU0N2YzMWEiLCJ1c2VySWQiOiIyODAzNDk3MjcifQ==</vt:lpwstr>
  </property>
</Properties>
</file>