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50"/>
        <w:rPr>
          <w:rFonts w:hint="eastAsia" w:ascii="仿宋" w:hAnsi="仿宋" w:eastAsia="仿宋" w:cs="仿宋"/>
          <w:sz w:val="32"/>
          <w:szCs w:val="32"/>
        </w:rPr>
      </w:pPr>
      <w:bookmarkStart w:id="0" w:name="_Toc30094"/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sz w:val="48"/>
          <w:szCs w:val="48"/>
        </w:rPr>
        <w:t>梧州市中医医院安全态势感知</w:t>
      </w: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安全</w:t>
      </w: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  <w:sectPr>
          <w:pgSz w:w="11906" w:h="16838"/>
          <w:pgMar w:top="1928" w:right="1531" w:bottom="1757" w:left="153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服务要求</w:t>
      </w:r>
      <w:bookmarkStart w:id="4" w:name="_GoBack"/>
      <w:bookmarkEnd w:id="4"/>
      <w:r>
        <w:rPr>
          <w:rFonts w:hint="eastAsia" w:ascii="宋体" w:hAnsi="宋体" w:cs="宋体"/>
          <w:b/>
          <w:bCs/>
          <w:sz w:val="48"/>
          <w:szCs w:val="48"/>
        </w:rPr>
        <w:t>参数附件</w:t>
      </w:r>
    </w:p>
    <w:bookmarkEnd w:id="0"/>
    <w:p>
      <w:pPr>
        <w:pStyle w:val="11"/>
        <w:widowControl/>
        <w:numPr>
          <w:ilvl w:val="0"/>
          <w:numId w:val="1"/>
        </w:numPr>
        <w:adjustRightInd w:val="0"/>
        <w:snapToGrid w:val="0"/>
        <w:spacing w:beforeAutospacing="0" w:after="40" w:afterAutospacing="0" w:line="32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项目概况：</w:t>
      </w:r>
    </w:p>
    <w:p>
      <w:pPr>
        <w:pStyle w:val="11"/>
        <w:widowControl/>
        <w:adjustRightInd w:val="0"/>
        <w:snapToGrid w:val="0"/>
        <w:spacing w:beforeAutospacing="0" w:after="40" w:afterAutospacing="0" w:line="440" w:lineRule="exact"/>
        <w:ind w:firstLine="480" w:firstLineChars="200"/>
        <w:rPr>
          <w:rFonts w:hint="eastAsia"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根据公网安【2025】1001号文件《关于进一步做好网络安全等级保护有关工作的函》的要求，结合医院网络安全设备的配备及病毒遍布情况，现申请采购</w:t>
      </w:r>
      <w:r>
        <w:rPr>
          <w:rFonts w:hint="eastAsia" w:ascii="宋体" w:hAnsi="宋体" w:cs="宋体"/>
          <w:kern w:val="2"/>
          <w:lang w:eastAsia="zh-CN"/>
        </w:rPr>
        <w:t>安全</w:t>
      </w:r>
      <w:r>
        <w:rPr>
          <w:rFonts w:hint="eastAsia" w:ascii="宋体" w:hAnsi="宋体" w:cs="宋体"/>
          <w:kern w:val="2"/>
        </w:rPr>
        <w:t>态势感知及相关网络安全</w:t>
      </w:r>
      <w:r>
        <w:rPr>
          <w:rFonts w:hint="eastAsia" w:ascii="宋体" w:hAnsi="宋体" w:cs="宋体"/>
          <w:kern w:val="2"/>
          <w:lang w:eastAsia="zh-CN"/>
        </w:rPr>
        <w:t>服务</w:t>
      </w:r>
      <w:r>
        <w:rPr>
          <w:rFonts w:hint="eastAsia" w:ascii="宋体" w:hAnsi="宋体" w:cs="宋体"/>
          <w:kern w:val="2"/>
        </w:rPr>
        <w:t>。</w:t>
      </w:r>
    </w:p>
    <w:p>
      <w:pPr>
        <w:pStyle w:val="4"/>
        <w:numPr>
          <w:ilvl w:val="0"/>
          <w:numId w:val="2"/>
        </w:numPr>
        <w:jc w:val="center"/>
        <w:rPr>
          <w:rFonts w:hint="eastAsia" w:ascii="宋体" w:hAnsi="宋体" w:cs="宋体"/>
          <w:b w:val="0"/>
          <w:bCs/>
          <w:sz w:val="32"/>
          <w:szCs w:val="32"/>
        </w:rPr>
      </w:pPr>
      <w:bookmarkStart w:id="1" w:name="_Toc6426"/>
      <w:bookmarkStart w:id="2" w:name="_Toc30496"/>
      <w:bookmarkStart w:id="3" w:name="_Toc21144"/>
      <w:r>
        <w:rPr>
          <w:rFonts w:hint="eastAsia" w:ascii="宋体" w:hAnsi="宋体" w:cs="宋体"/>
          <w:b w:val="0"/>
          <w:bCs/>
          <w:sz w:val="32"/>
          <w:szCs w:val="32"/>
        </w:rPr>
        <w:t>需求参数表</w:t>
      </w:r>
      <w:bookmarkEnd w:id="1"/>
      <w:r>
        <w:rPr>
          <w:rFonts w:hint="eastAsia" w:ascii="宋体" w:hAnsi="宋体" w:cs="宋体"/>
          <w:b w:val="0"/>
          <w:bCs/>
          <w:sz w:val="32"/>
          <w:szCs w:val="32"/>
        </w:rPr>
        <w:t>响应表</w:t>
      </w:r>
    </w:p>
    <w:tbl>
      <w:tblPr>
        <w:tblStyle w:val="13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06"/>
        <w:gridCol w:w="4045"/>
        <w:gridCol w:w="873"/>
        <w:gridCol w:w="1452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599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2010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描述</w:t>
            </w:r>
          </w:p>
        </w:tc>
        <w:tc>
          <w:tcPr>
            <w:tcW w:w="434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数量</w:t>
            </w:r>
          </w:p>
        </w:tc>
        <w:tc>
          <w:tcPr>
            <w:tcW w:w="722" w:type="pct"/>
            <w:shd w:val="clear" w:color="000000" w:fill="C8C8C8" w:themeFill="accent3" w:themeFillTint="99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响应内容</w:t>
            </w:r>
          </w:p>
        </w:tc>
        <w:tc>
          <w:tcPr>
            <w:tcW w:w="794" w:type="pct"/>
            <w:shd w:val="clear" w:color="000000" w:fill="C8C8C8" w:themeFill="accent3" w:themeFillTint="99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40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安全态势感知</w:t>
            </w:r>
          </w:p>
        </w:tc>
        <w:tc>
          <w:tcPr>
            <w:tcW w:w="2010" w:type="pct"/>
            <w:vAlign w:val="center"/>
          </w:tcPr>
          <w:p>
            <w:pPr>
              <w:spacing w:after="0" w:line="24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</w:rPr>
              <w:t>安全态势感知</w:t>
            </w:r>
            <w:r>
              <w:rPr>
                <w:rFonts w:hint="eastAsia"/>
                <w:lang w:eastAsia="zh-CN"/>
              </w:rPr>
              <w:t>系统部署服务</w:t>
            </w:r>
            <w:r>
              <w:rPr>
                <w:rFonts w:hint="eastAsia"/>
              </w:rPr>
              <w:t>需要以安全可视和协同防御为主线，以全流量采集技术、AI智能分析技术提供智能化、精准化、高效化的全流量威胁分析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eastAsia="zh-CN"/>
              </w:rPr>
              <w:t>确保医院所受到的病毒和黑客攻击能在</w:t>
            </w:r>
            <w:r>
              <w:rPr>
                <w:rFonts w:hint="eastAsia"/>
                <w:lang w:val="en-US" w:eastAsia="zh-CN"/>
              </w:rPr>
              <w:t>30分钟内获得告警并通知到医院方，并且在一小时之内即时联动院内其他设备跟软件进行堵截处理，并及时阻隔可能存在的财产损失风险威胁。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所提供的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产品含：</w:t>
            </w:r>
          </w:p>
          <w:p>
            <w:pPr>
              <w:spacing w:after="0"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</w:rPr>
              <w:t>安全态势感知系统软件</w:t>
            </w:r>
            <w:r>
              <w:rPr>
                <w:rFonts w:hint="eastAsia"/>
                <w:lang w:eastAsia="zh-CN"/>
              </w:rPr>
              <w:t>全服务形态部署以及安全危险处理服务，实施所需要的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最新系统安全特征库一套（必须</w:t>
            </w:r>
            <w:r>
              <w:rPr>
                <w:rFonts w:hint="eastAsia"/>
                <w:lang w:eastAsia="zh-CN"/>
              </w:rPr>
              <w:t>保证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lang w:eastAsia="zh-CN"/>
              </w:rPr>
              <w:t>服务期</w:t>
            </w:r>
            <w:r>
              <w:rPr>
                <w:rFonts w:hint="eastAsia"/>
              </w:rPr>
              <w:t>内可升级）;</w:t>
            </w:r>
          </w:p>
          <w:p>
            <w:pPr>
              <w:spacing w:after="0"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需将医院局域网内其他第三方网络设备</w:t>
            </w:r>
            <w:r>
              <w:rPr>
                <w:rFonts w:hint="eastAsia"/>
                <w:lang w:eastAsia="zh-CN"/>
              </w:rPr>
              <w:t>的对接服务</w:t>
            </w:r>
            <w:r>
              <w:rPr>
                <w:rFonts w:hint="eastAsia"/>
              </w:rPr>
              <w:t>（指非同品牌产品，数量按具体实际数量）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lang w:eastAsia="zh-CN"/>
              </w:rPr>
              <w:t>本项目服务所涉及的所有</w:t>
            </w:r>
            <w:r>
              <w:rPr>
                <w:rFonts w:hint="eastAsia"/>
              </w:rPr>
              <w:t>软件升级和硬件设备产品质保不少于三年。</w:t>
            </w:r>
          </w:p>
        </w:tc>
        <w:tc>
          <w:tcPr>
            <w:tcW w:w="434" w:type="pct"/>
            <w:vAlign w:val="center"/>
          </w:tcPr>
          <w:p>
            <w:pPr>
              <w:spacing w:after="0"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项</w:t>
            </w:r>
          </w:p>
        </w:tc>
        <w:tc>
          <w:tcPr>
            <w:tcW w:w="722" w:type="pct"/>
          </w:tcPr>
          <w:p>
            <w:pPr>
              <w:spacing w:after="0" w:line="240" w:lineRule="atLeast"/>
            </w:pPr>
          </w:p>
        </w:tc>
        <w:tc>
          <w:tcPr>
            <w:tcW w:w="794" w:type="pct"/>
          </w:tcPr>
          <w:p>
            <w:pPr>
              <w:spacing w:after="0" w:line="240" w:lineRule="atLeast"/>
            </w:pPr>
          </w:p>
        </w:tc>
      </w:tr>
    </w:tbl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/>
    <w:p>
      <w:pPr>
        <w:pStyle w:val="2"/>
      </w:pPr>
    </w:p>
    <w:bookmarkEnd w:id="2"/>
    <w:bookmarkEnd w:id="3"/>
    <w:p>
      <w:pPr>
        <w:spacing w:line="312" w:lineRule="auto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spacing w:line="312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4"/>
          <w:szCs w:val="44"/>
        </w:rPr>
        <w:t>梧州市中医医院安全态势感知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安全服务</w:t>
      </w:r>
      <w:r>
        <w:rPr>
          <w:rFonts w:hint="eastAsia" w:ascii="宋体" w:hAnsi="宋体" w:cs="宋体"/>
          <w:b/>
          <w:bCs/>
          <w:sz w:val="44"/>
          <w:szCs w:val="44"/>
        </w:rPr>
        <w:t>价格表</w:t>
      </w:r>
    </w:p>
    <w:p>
      <w:pPr>
        <w:spacing w:line="312" w:lineRule="auto"/>
        <w:rPr>
          <w:rFonts w:hint="eastAsia" w:ascii="宋体" w:hAnsi="宋体" w:cs="宋体"/>
          <w:b/>
          <w:bCs/>
          <w:szCs w:val="21"/>
        </w:rPr>
      </w:pPr>
    </w:p>
    <w:p>
      <w:pPr>
        <w:rPr>
          <w:rFonts w:hint="eastAsia" w:ascii="宋体" w:hAnsi="宋体" w:cs="宋体"/>
          <w:b/>
          <w:bCs/>
          <w:szCs w:val="21"/>
        </w:rPr>
      </w:pPr>
    </w:p>
    <w:tbl>
      <w:tblPr>
        <w:tblStyle w:val="13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7221"/>
        <w:gridCol w:w="113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72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项目内容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7221" w:type="dxa"/>
            <w:vAlign w:val="center"/>
          </w:tcPr>
          <w:p>
            <w:pPr>
              <w:spacing w:after="0" w:line="24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</w:rPr>
              <w:t>安全态势感知</w:t>
            </w:r>
            <w:r>
              <w:rPr>
                <w:rFonts w:hint="eastAsia"/>
                <w:lang w:eastAsia="zh-CN"/>
              </w:rPr>
              <w:t>系统部署服务</w:t>
            </w:r>
            <w:r>
              <w:rPr>
                <w:rFonts w:hint="eastAsia"/>
              </w:rPr>
              <w:t>需要以安全可视和协同防御为主线，以全流量采集技术、AI智能分析技术提供智能化、精准化、高效化的全流量威胁分析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eastAsia="zh-CN"/>
              </w:rPr>
              <w:t>确保医院所受到的病毒和黑客攻击能在</w:t>
            </w:r>
            <w:r>
              <w:rPr>
                <w:rFonts w:hint="eastAsia"/>
                <w:lang w:val="en-US" w:eastAsia="zh-CN"/>
              </w:rPr>
              <w:t>30分钟内获得告警并通知到医院方，并且在一小时之内即时联动院内其他设备跟软件进行堵截处理，并及时阻隔可能存在的财产损失风险威胁。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所提供的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产品含：</w:t>
            </w:r>
          </w:p>
          <w:p>
            <w:pPr>
              <w:spacing w:after="0"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</w:rPr>
              <w:t>安全态势感知系统软件</w:t>
            </w:r>
            <w:r>
              <w:rPr>
                <w:rFonts w:hint="eastAsia"/>
                <w:lang w:eastAsia="zh-CN"/>
              </w:rPr>
              <w:t>全服务形态部署以及安全危险处理服务，实施所需要的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最新系统安全特征库一套（必须</w:t>
            </w:r>
            <w:r>
              <w:rPr>
                <w:rFonts w:hint="eastAsia"/>
                <w:lang w:eastAsia="zh-CN"/>
              </w:rPr>
              <w:t>保证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lang w:eastAsia="zh-CN"/>
              </w:rPr>
              <w:t>服务期</w:t>
            </w:r>
            <w:r>
              <w:rPr>
                <w:rFonts w:hint="eastAsia"/>
              </w:rPr>
              <w:t>内可升级）;</w:t>
            </w:r>
          </w:p>
          <w:p>
            <w:pPr>
              <w:spacing w:after="0"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需将医院局域网内其他第三方网络设备</w:t>
            </w:r>
            <w:r>
              <w:rPr>
                <w:rFonts w:hint="eastAsia"/>
                <w:lang w:eastAsia="zh-CN"/>
              </w:rPr>
              <w:t>的对接服务</w:t>
            </w:r>
            <w:r>
              <w:rPr>
                <w:rFonts w:hint="eastAsia"/>
              </w:rPr>
              <w:t>（指非同品牌产品，数量按具体实际数量）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lang w:eastAsia="zh-CN"/>
              </w:rPr>
              <w:t>本项目服务所涉及的所有</w:t>
            </w:r>
            <w:r>
              <w:rPr>
                <w:rFonts w:hint="eastAsia"/>
              </w:rPr>
              <w:t>软件升级和硬件设备产品质保不少于三年。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项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pStyle w:val="2"/>
      </w:pPr>
    </w:p>
    <w:sectPr>
      <w:footerReference r:id="rId3" w:type="default"/>
      <w:pgSz w:w="11906" w:h="16838"/>
      <w:pgMar w:top="1928" w:right="1531" w:bottom="1757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0AF0"/>
    <w:multiLevelType w:val="multilevel"/>
    <w:tmpl w:val="24370AF0"/>
    <w:lvl w:ilvl="0" w:tentative="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1755FD1"/>
    <w:multiLevelType w:val="multilevel"/>
    <w:tmpl w:val="71755FD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xZmVjNTEyOTE0NWMwZDY1OWNiMWM4MzIzYTg2MzYifQ=="/>
  </w:docVars>
  <w:rsids>
    <w:rsidRoot w:val="001B2F2D"/>
    <w:rsid w:val="00000DAF"/>
    <w:rsid w:val="000C3660"/>
    <w:rsid w:val="000E3FC3"/>
    <w:rsid w:val="00126256"/>
    <w:rsid w:val="00151B16"/>
    <w:rsid w:val="001A14EA"/>
    <w:rsid w:val="001B2F2D"/>
    <w:rsid w:val="00213CF6"/>
    <w:rsid w:val="00221FF0"/>
    <w:rsid w:val="00225A08"/>
    <w:rsid w:val="00253775"/>
    <w:rsid w:val="002C06CF"/>
    <w:rsid w:val="002C73EF"/>
    <w:rsid w:val="002E2758"/>
    <w:rsid w:val="00323975"/>
    <w:rsid w:val="00360B66"/>
    <w:rsid w:val="003640F3"/>
    <w:rsid w:val="00381166"/>
    <w:rsid w:val="003D6E0B"/>
    <w:rsid w:val="0040353A"/>
    <w:rsid w:val="00403633"/>
    <w:rsid w:val="004377FC"/>
    <w:rsid w:val="00443A73"/>
    <w:rsid w:val="00445A00"/>
    <w:rsid w:val="00464FAF"/>
    <w:rsid w:val="004C171B"/>
    <w:rsid w:val="004E5772"/>
    <w:rsid w:val="00575A0F"/>
    <w:rsid w:val="005A1245"/>
    <w:rsid w:val="00682467"/>
    <w:rsid w:val="006A5AD5"/>
    <w:rsid w:val="00787782"/>
    <w:rsid w:val="007B1FCF"/>
    <w:rsid w:val="0081738C"/>
    <w:rsid w:val="00843E95"/>
    <w:rsid w:val="008A0F7A"/>
    <w:rsid w:val="008C602C"/>
    <w:rsid w:val="008F6EB2"/>
    <w:rsid w:val="00920AAA"/>
    <w:rsid w:val="00934E11"/>
    <w:rsid w:val="00963367"/>
    <w:rsid w:val="00971C83"/>
    <w:rsid w:val="00A63FFD"/>
    <w:rsid w:val="00A644D3"/>
    <w:rsid w:val="00A67DD8"/>
    <w:rsid w:val="00AE3AAB"/>
    <w:rsid w:val="00B8014A"/>
    <w:rsid w:val="00B8474B"/>
    <w:rsid w:val="00B86622"/>
    <w:rsid w:val="00B96453"/>
    <w:rsid w:val="00BA24C3"/>
    <w:rsid w:val="00BC4650"/>
    <w:rsid w:val="00BE1701"/>
    <w:rsid w:val="00C049B6"/>
    <w:rsid w:val="00CE0627"/>
    <w:rsid w:val="00D070EA"/>
    <w:rsid w:val="00DD32A5"/>
    <w:rsid w:val="00DD4797"/>
    <w:rsid w:val="00E04176"/>
    <w:rsid w:val="00E37371"/>
    <w:rsid w:val="00E67241"/>
    <w:rsid w:val="00E94C99"/>
    <w:rsid w:val="00EB609B"/>
    <w:rsid w:val="00EC5D25"/>
    <w:rsid w:val="00F3191C"/>
    <w:rsid w:val="00F374E7"/>
    <w:rsid w:val="00FC4536"/>
    <w:rsid w:val="00FD3D06"/>
    <w:rsid w:val="00FF00EF"/>
    <w:rsid w:val="017716F4"/>
    <w:rsid w:val="01875299"/>
    <w:rsid w:val="0198159D"/>
    <w:rsid w:val="01A31BC0"/>
    <w:rsid w:val="02126F0C"/>
    <w:rsid w:val="02884698"/>
    <w:rsid w:val="040C6A6B"/>
    <w:rsid w:val="05672456"/>
    <w:rsid w:val="06422A77"/>
    <w:rsid w:val="067D33B3"/>
    <w:rsid w:val="06A136B9"/>
    <w:rsid w:val="06C76C7A"/>
    <w:rsid w:val="07181283"/>
    <w:rsid w:val="07716B0D"/>
    <w:rsid w:val="08002443"/>
    <w:rsid w:val="08833548"/>
    <w:rsid w:val="08E25FED"/>
    <w:rsid w:val="09120680"/>
    <w:rsid w:val="09A339CE"/>
    <w:rsid w:val="09DD68F3"/>
    <w:rsid w:val="0ACB31DC"/>
    <w:rsid w:val="0B696551"/>
    <w:rsid w:val="0B963927"/>
    <w:rsid w:val="0BDA6BB3"/>
    <w:rsid w:val="0BF978D5"/>
    <w:rsid w:val="0D993821"/>
    <w:rsid w:val="0DC6168F"/>
    <w:rsid w:val="0ED35847"/>
    <w:rsid w:val="0ED4462A"/>
    <w:rsid w:val="0F3155D8"/>
    <w:rsid w:val="0F783207"/>
    <w:rsid w:val="102313C5"/>
    <w:rsid w:val="102A0D42"/>
    <w:rsid w:val="106043C7"/>
    <w:rsid w:val="108A2BF5"/>
    <w:rsid w:val="11241C6E"/>
    <w:rsid w:val="124570BA"/>
    <w:rsid w:val="13203999"/>
    <w:rsid w:val="139D288D"/>
    <w:rsid w:val="14634486"/>
    <w:rsid w:val="14681A9C"/>
    <w:rsid w:val="148C79F4"/>
    <w:rsid w:val="14F60FB2"/>
    <w:rsid w:val="157E0E4B"/>
    <w:rsid w:val="15814FAE"/>
    <w:rsid w:val="17B80644"/>
    <w:rsid w:val="17F02F69"/>
    <w:rsid w:val="180578D0"/>
    <w:rsid w:val="1898470F"/>
    <w:rsid w:val="18BC6B1D"/>
    <w:rsid w:val="18E80B76"/>
    <w:rsid w:val="18ED07C2"/>
    <w:rsid w:val="19A262D7"/>
    <w:rsid w:val="19D379B8"/>
    <w:rsid w:val="1A98475D"/>
    <w:rsid w:val="1BD34639"/>
    <w:rsid w:val="1C005C41"/>
    <w:rsid w:val="1C14576A"/>
    <w:rsid w:val="1C5803F8"/>
    <w:rsid w:val="1D304123"/>
    <w:rsid w:val="1DA87B6A"/>
    <w:rsid w:val="1E236A34"/>
    <w:rsid w:val="1E5D0198"/>
    <w:rsid w:val="1EF44211"/>
    <w:rsid w:val="1F2A3EED"/>
    <w:rsid w:val="1F6765E2"/>
    <w:rsid w:val="1F795415"/>
    <w:rsid w:val="1FAA11BB"/>
    <w:rsid w:val="1FC35DD8"/>
    <w:rsid w:val="1FCF190A"/>
    <w:rsid w:val="20C733F7"/>
    <w:rsid w:val="2144119B"/>
    <w:rsid w:val="21C67E02"/>
    <w:rsid w:val="23E34C9B"/>
    <w:rsid w:val="241067BA"/>
    <w:rsid w:val="246C2EE2"/>
    <w:rsid w:val="24D25416"/>
    <w:rsid w:val="24FA6740"/>
    <w:rsid w:val="256E2C8A"/>
    <w:rsid w:val="25804CFA"/>
    <w:rsid w:val="26347FD3"/>
    <w:rsid w:val="269404CF"/>
    <w:rsid w:val="26DA7CC8"/>
    <w:rsid w:val="2742617D"/>
    <w:rsid w:val="27881AA3"/>
    <w:rsid w:val="27A934BE"/>
    <w:rsid w:val="27A961FC"/>
    <w:rsid w:val="27AF6EEF"/>
    <w:rsid w:val="27F54F9D"/>
    <w:rsid w:val="28D948BF"/>
    <w:rsid w:val="2AF27EBA"/>
    <w:rsid w:val="2C2C73FB"/>
    <w:rsid w:val="2C9730A0"/>
    <w:rsid w:val="2D74105A"/>
    <w:rsid w:val="2DD41AF8"/>
    <w:rsid w:val="2F7D132D"/>
    <w:rsid w:val="31480833"/>
    <w:rsid w:val="314D409C"/>
    <w:rsid w:val="315216B2"/>
    <w:rsid w:val="319620CE"/>
    <w:rsid w:val="31EF6F01"/>
    <w:rsid w:val="325B00F2"/>
    <w:rsid w:val="32C739DA"/>
    <w:rsid w:val="33092244"/>
    <w:rsid w:val="33165894"/>
    <w:rsid w:val="33270FD5"/>
    <w:rsid w:val="34433534"/>
    <w:rsid w:val="344D25CB"/>
    <w:rsid w:val="345B0CBE"/>
    <w:rsid w:val="34B14942"/>
    <w:rsid w:val="350902DA"/>
    <w:rsid w:val="35315A9F"/>
    <w:rsid w:val="355157DD"/>
    <w:rsid w:val="355D6D9F"/>
    <w:rsid w:val="36CC7811"/>
    <w:rsid w:val="37773C20"/>
    <w:rsid w:val="382D0783"/>
    <w:rsid w:val="38563836"/>
    <w:rsid w:val="39C8164D"/>
    <w:rsid w:val="3A970136"/>
    <w:rsid w:val="3B00217F"/>
    <w:rsid w:val="3B4402BD"/>
    <w:rsid w:val="3C5E715D"/>
    <w:rsid w:val="3DC00139"/>
    <w:rsid w:val="3DE4568D"/>
    <w:rsid w:val="3E4D3BD3"/>
    <w:rsid w:val="3EBE0387"/>
    <w:rsid w:val="3EC15781"/>
    <w:rsid w:val="3EEF22EE"/>
    <w:rsid w:val="3F3D5750"/>
    <w:rsid w:val="3F4C08E9"/>
    <w:rsid w:val="3F4C39D9"/>
    <w:rsid w:val="408847A8"/>
    <w:rsid w:val="40C756E8"/>
    <w:rsid w:val="40E40203"/>
    <w:rsid w:val="414032D5"/>
    <w:rsid w:val="42097B6B"/>
    <w:rsid w:val="426315F4"/>
    <w:rsid w:val="429934B6"/>
    <w:rsid w:val="42FB3958"/>
    <w:rsid w:val="43AD5D7F"/>
    <w:rsid w:val="449B7833"/>
    <w:rsid w:val="45B002FD"/>
    <w:rsid w:val="46C82208"/>
    <w:rsid w:val="472B0583"/>
    <w:rsid w:val="47C00CCC"/>
    <w:rsid w:val="48D40BBB"/>
    <w:rsid w:val="48DF402C"/>
    <w:rsid w:val="492B6619"/>
    <w:rsid w:val="49570CBB"/>
    <w:rsid w:val="4A3B6D2F"/>
    <w:rsid w:val="4A717406"/>
    <w:rsid w:val="4A745D9D"/>
    <w:rsid w:val="4A9D2383"/>
    <w:rsid w:val="4AB93457"/>
    <w:rsid w:val="4AEF4153"/>
    <w:rsid w:val="4B0233A9"/>
    <w:rsid w:val="4B7A3887"/>
    <w:rsid w:val="4BB3736D"/>
    <w:rsid w:val="4BC6305D"/>
    <w:rsid w:val="4C475A00"/>
    <w:rsid w:val="4C6836E0"/>
    <w:rsid w:val="4CCA6149"/>
    <w:rsid w:val="4D9E78F3"/>
    <w:rsid w:val="4E933499"/>
    <w:rsid w:val="4EDB44D8"/>
    <w:rsid w:val="4FF57980"/>
    <w:rsid w:val="503419E6"/>
    <w:rsid w:val="506A143A"/>
    <w:rsid w:val="50A8054F"/>
    <w:rsid w:val="50D70E34"/>
    <w:rsid w:val="51143E36"/>
    <w:rsid w:val="516E79EA"/>
    <w:rsid w:val="51B01DB1"/>
    <w:rsid w:val="52F423BC"/>
    <w:rsid w:val="54A04704"/>
    <w:rsid w:val="54A35BFD"/>
    <w:rsid w:val="54B511BC"/>
    <w:rsid w:val="553700F3"/>
    <w:rsid w:val="554A23B2"/>
    <w:rsid w:val="555313D1"/>
    <w:rsid w:val="558D751D"/>
    <w:rsid w:val="5647394F"/>
    <w:rsid w:val="56DE116E"/>
    <w:rsid w:val="57216542"/>
    <w:rsid w:val="588418A2"/>
    <w:rsid w:val="58C23664"/>
    <w:rsid w:val="5A217462"/>
    <w:rsid w:val="5A315A59"/>
    <w:rsid w:val="5A90452E"/>
    <w:rsid w:val="5C5A4700"/>
    <w:rsid w:val="5C930305"/>
    <w:rsid w:val="5CDC30C9"/>
    <w:rsid w:val="5CFA65D6"/>
    <w:rsid w:val="5D6112A6"/>
    <w:rsid w:val="5DA21364"/>
    <w:rsid w:val="5DC15346"/>
    <w:rsid w:val="5E8A5738"/>
    <w:rsid w:val="5F0C25F1"/>
    <w:rsid w:val="5FBF7663"/>
    <w:rsid w:val="60687CFB"/>
    <w:rsid w:val="623A400D"/>
    <w:rsid w:val="62CC4571"/>
    <w:rsid w:val="634764AA"/>
    <w:rsid w:val="639C0BAB"/>
    <w:rsid w:val="6442771F"/>
    <w:rsid w:val="64E5191A"/>
    <w:rsid w:val="655A5E64"/>
    <w:rsid w:val="674E72EB"/>
    <w:rsid w:val="67804D3D"/>
    <w:rsid w:val="679A69EC"/>
    <w:rsid w:val="68C1444C"/>
    <w:rsid w:val="68F1232B"/>
    <w:rsid w:val="68F55EA4"/>
    <w:rsid w:val="69431305"/>
    <w:rsid w:val="6A297382"/>
    <w:rsid w:val="6B3C7353"/>
    <w:rsid w:val="6B52582F"/>
    <w:rsid w:val="6C223454"/>
    <w:rsid w:val="6C753814"/>
    <w:rsid w:val="6D003795"/>
    <w:rsid w:val="6D014181"/>
    <w:rsid w:val="6D27790C"/>
    <w:rsid w:val="6D4D2752"/>
    <w:rsid w:val="6D50172F"/>
    <w:rsid w:val="6D5533B5"/>
    <w:rsid w:val="6D7D164B"/>
    <w:rsid w:val="6D9739CD"/>
    <w:rsid w:val="6E526B93"/>
    <w:rsid w:val="6F187F50"/>
    <w:rsid w:val="6F284AA6"/>
    <w:rsid w:val="70C866F5"/>
    <w:rsid w:val="70D56CE6"/>
    <w:rsid w:val="70FA674D"/>
    <w:rsid w:val="714E555D"/>
    <w:rsid w:val="71704C61"/>
    <w:rsid w:val="718F158B"/>
    <w:rsid w:val="727C2D17"/>
    <w:rsid w:val="72F53670"/>
    <w:rsid w:val="738A4441"/>
    <w:rsid w:val="73B60A1F"/>
    <w:rsid w:val="740578E3"/>
    <w:rsid w:val="7427759D"/>
    <w:rsid w:val="759E3B4B"/>
    <w:rsid w:val="76DF08BF"/>
    <w:rsid w:val="77147E3D"/>
    <w:rsid w:val="77364257"/>
    <w:rsid w:val="77DD2BDC"/>
    <w:rsid w:val="783339D9"/>
    <w:rsid w:val="790463BB"/>
    <w:rsid w:val="79645E66"/>
    <w:rsid w:val="79D02A72"/>
    <w:rsid w:val="7A5213A8"/>
    <w:rsid w:val="7A5A025C"/>
    <w:rsid w:val="7AAF70E6"/>
    <w:rsid w:val="7BF76AA5"/>
    <w:rsid w:val="7D851A94"/>
    <w:rsid w:val="7E6B3330"/>
    <w:rsid w:val="7F1430D0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paragraph" w:styleId="12">
    <w:name w:val="Body Text First Indent"/>
    <w:basedOn w:val="2"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页眉 字符"/>
    <w:basedOn w:val="15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667</Words>
  <Characters>699</Characters>
  <Lines>39</Lines>
  <Paragraphs>37</Paragraphs>
  <TotalTime>2</TotalTime>
  <ScaleCrop>false</ScaleCrop>
  <LinksUpToDate>false</LinksUpToDate>
  <CharactersWithSpaces>699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2025-03-22T01:52:00Z</dcterms:created>
  <dc:creator>Administrator</dc:creator>
  <cp:lastModifiedBy>吴浩正وليد</cp:lastModifiedBy>
  <cp:lastPrinted>2024-12-13T04:03:00Z</cp:lastPrinted>
  <dcterms:modified xsi:type="dcterms:W3CDTF">2025-04-21T01:44:02Z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70D7FD7531CD429EB3EAF5B0A834749B_13</vt:lpwstr>
  </property>
  <property fmtid="{D5CDD505-2E9C-101B-9397-08002B2CF9AE}" pid="4" name="KSOTemplateDocerSaveRecord">
    <vt:lpwstr>eyJoZGlkIjoiMWVkYWRjNTk2M2Q1MzIxYjRmNjNjNTE1YjU1OTg1YmEiLCJ1c2VySWQiOiI0NTAxNjAxMzgifQ==</vt:lpwstr>
  </property>
</Properties>
</file>