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50"/>
        <w:rPr>
          <w:rFonts w:hint="eastAsia" w:ascii="仿宋" w:hAnsi="仿宋" w:eastAsia="仿宋" w:cs="仿宋"/>
          <w:sz w:val="32"/>
          <w:szCs w:val="32"/>
        </w:rPr>
      </w:pPr>
      <w:bookmarkStart w:id="0" w:name="_Toc30094"/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梧州市中医医院信息安全维保服务项目</w:t>
      </w: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  <w:sectPr>
          <w:pgSz w:w="11906" w:h="16838"/>
          <w:pgMar w:top="1928" w:right="1531" w:bottom="1757" w:left="1531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sz w:val="48"/>
          <w:szCs w:val="48"/>
        </w:rPr>
        <w:t>技术参数附件</w:t>
      </w:r>
    </w:p>
    <w:bookmarkEnd w:id="0"/>
    <w:p>
      <w:pPr>
        <w:pStyle w:val="11"/>
        <w:widowControl/>
        <w:numPr>
          <w:ilvl w:val="0"/>
          <w:numId w:val="1"/>
        </w:numPr>
        <w:adjustRightInd w:val="0"/>
        <w:snapToGrid w:val="0"/>
        <w:spacing w:beforeAutospacing="0" w:after="40" w:afterAutospacing="0" w:line="32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项目概况：</w:t>
      </w:r>
    </w:p>
    <w:p>
      <w:pPr>
        <w:pStyle w:val="11"/>
        <w:widowControl/>
        <w:adjustRightInd w:val="0"/>
        <w:snapToGrid w:val="0"/>
        <w:spacing w:beforeAutospacing="0" w:after="40" w:afterAutospacing="0" w:line="440" w:lineRule="exact"/>
        <w:ind w:firstLine="480" w:firstLineChars="200"/>
        <w:rPr>
          <w:rFonts w:hint="eastAsia" w:ascii="宋体" w:hAnsi="宋体" w:cs="宋体"/>
          <w:kern w:val="2"/>
        </w:rPr>
      </w:pPr>
      <w:r>
        <w:rPr>
          <w:rFonts w:ascii="宋体" w:hAnsi="宋体" w:cs="宋体"/>
          <w:kern w:val="2"/>
        </w:rPr>
        <w:t>随着医疗行业数字化转型的深入推进，医院信息系统等核心业务平台的普及，医疗数据已成为医院运营与患者服务的核心资产。然而，医疗行业面临的网络安全威胁日益严峻，勒索软件攻击、数据泄露、系统瘫痪等事件频发，严重威胁患者隐私安全、诊疗秩序及医院声誉。</w:t>
      </w:r>
    </w:p>
    <w:p>
      <w:pPr>
        <w:pStyle w:val="11"/>
        <w:widowControl/>
        <w:adjustRightInd w:val="0"/>
        <w:snapToGrid w:val="0"/>
        <w:spacing w:beforeAutospacing="0" w:after="40" w:afterAutospacing="0" w:line="440" w:lineRule="exact"/>
        <w:ind w:firstLine="480" w:firstLineChars="200"/>
        <w:rPr>
          <w:rFonts w:hint="eastAsia"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目前医院的网络安全设备已过保了6-7年，网络安全存在重大的安全隐患，为保障业务连续性和数据安全的必要举措。通过持续性的安全监测、漏洞修复、应急响应及技术升级等维保服务，可帮助医院动态应对新型威胁，加固防御体系，同时满足监管合规要求，降低运营风险。</w:t>
      </w:r>
    </w:p>
    <w:p>
      <w:pPr>
        <w:pStyle w:val="11"/>
        <w:widowControl/>
        <w:adjustRightInd w:val="0"/>
        <w:snapToGrid w:val="0"/>
        <w:spacing w:beforeAutospacing="0" w:after="40" w:afterAutospacing="0" w:line="320" w:lineRule="exact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pStyle w:val="4"/>
        <w:numPr>
          <w:ilvl w:val="0"/>
          <w:numId w:val="2"/>
        </w:numPr>
        <w:jc w:val="center"/>
        <w:rPr>
          <w:rFonts w:hint="eastAsia" w:ascii="宋体" w:hAnsi="宋体" w:cs="宋体"/>
          <w:b w:val="0"/>
          <w:bCs/>
          <w:sz w:val="32"/>
          <w:szCs w:val="32"/>
        </w:rPr>
      </w:pPr>
      <w:bookmarkStart w:id="1" w:name="_Toc6426"/>
      <w:bookmarkStart w:id="2" w:name="_Toc21144"/>
      <w:bookmarkStart w:id="3" w:name="_Toc30496"/>
      <w:r>
        <w:rPr>
          <w:rFonts w:hint="eastAsia" w:ascii="宋体" w:hAnsi="宋体" w:cs="宋体"/>
          <w:b w:val="0"/>
          <w:bCs/>
          <w:sz w:val="32"/>
          <w:szCs w:val="32"/>
        </w:rPr>
        <w:t>需求参数表</w:t>
      </w:r>
      <w:bookmarkEnd w:id="1"/>
      <w:r>
        <w:rPr>
          <w:rFonts w:hint="eastAsia" w:ascii="宋体" w:hAnsi="宋体" w:cs="宋体"/>
          <w:b w:val="0"/>
          <w:bCs/>
          <w:sz w:val="32"/>
          <w:szCs w:val="32"/>
        </w:rPr>
        <w:t>响应表</w:t>
      </w:r>
    </w:p>
    <w:tbl>
      <w:tblPr>
        <w:tblStyle w:val="13"/>
        <w:tblW w:w="5473" w:type="pct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7"/>
        <w:gridCol w:w="1206"/>
        <w:gridCol w:w="3077"/>
        <w:gridCol w:w="728"/>
        <w:gridCol w:w="1160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47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序号</w:t>
            </w:r>
          </w:p>
        </w:tc>
        <w:tc>
          <w:tcPr>
            <w:tcW w:w="855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设备大类</w:t>
            </w:r>
          </w:p>
        </w:tc>
        <w:tc>
          <w:tcPr>
            <w:tcW w:w="608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设备型号</w:t>
            </w:r>
          </w:p>
        </w:tc>
        <w:tc>
          <w:tcPr>
            <w:tcW w:w="1551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产品描述</w:t>
            </w:r>
          </w:p>
        </w:tc>
        <w:tc>
          <w:tcPr>
            <w:tcW w:w="367" w:type="pct"/>
            <w:shd w:val="clear" w:color="000000" w:fill="C8C8C8" w:themeFill="accent3" w:themeFillTint="99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数量</w:t>
            </w:r>
          </w:p>
        </w:tc>
        <w:tc>
          <w:tcPr>
            <w:tcW w:w="585" w:type="pct"/>
            <w:shd w:val="clear" w:color="000000" w:fill="C8C8C8" w:themeFill="accent3" w:themeFillTint="99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响应内容</w:t>
            </w:r>
          </w:p>
        </w:tc>
        <w:tc>
          <w:tcPr>
            <w:tcW w:w="586" w:type="pct"/>
            <w:shd w:val="clear" w:color="000000" w:fill="C8C8C8" w:themeFill="accent3" w:themeFillTint="99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上网行为管理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深信服</w:t>
            </w:r>
            <w:r>
              <w:t>AC-1700-ZR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设备吞吐量 300Mbps;支持用户数 1200，并发会话数 300,000;网络接口具备6 个千兆电口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VPN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深信服</w:t>
            </w:r>
            <w:r>
              <w:t>VPN-1000-B1120D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吞吐量:500Mbps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防火墙代理理论并发会话数目:600000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SSL最大加密流量:250Mbps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SSL理论并发用户数:1000个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IPSec加密最大流量:110Mbps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内存:2GB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4电4光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3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防火墙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360网神</w:t>
            </w:r>
          </w:p>
          <w:p>
            <w:pPr>
              <w:spacing w:after="0" w:line="240" w:lineRule="atLeast"/>
            </w:pPr>
            <w:r>
              <w:t>NSG7000-TG10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网络处理能力&gt;14G并发连接≥300 万，每秒新建连接 22 万/秒，双电源，，6个10/100/1000M 自适应电2，8个10/100/1000BASE-T(100m，RJ45):前面板SFP插 槽 :配置液晶器示屏升级服务，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4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防火墙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华为</w:t>
            </w:r>
            <w:r>
              <w:t>Secoway USG5530s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性能指标: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防火墙吞吐量:吞吐量&gt;10Gbps;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最大并发连接数&gt;300万: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每秒新建连接数&gt;10万: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IPSec VPN吞吐&gt;7Gbps: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IPSEC VPN隧道数≥15000，SSL VPN隧道数&gt;500.配置8个千兆光口、4个千兆电口、4个千兆ombo 端口:支持接口扩展，支持万兆接口，扩展插槽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5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防火墙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华为</w:t>
            </w:r>
            <w:r>
              <w:t>USG6101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并发连接数 200000，吞吐量 600Mbps，网络端口 4GE，VPN支持 支持，入侵检测 支持入侵防护。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6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防火墙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t>H3C SecPath F1000-AI-80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1. 采用非X86 64位多核高性能处理器和高速存储器，高度≥1U,Flash≥8G,内存≥16G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2.应用层吞吐量≥6Gbps，网络层吞吐量≥20Gbps最大并发连接数≥1000万，每秒新建连接数≥15万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3.提供≥2个MGMT接口，≥14个千兆电口，≥8个千兆光口，≥8个万兆光口，≥2个USB接口，提供以上接口后剩余扩展槽位≥4个，≥2个硬盘扩展槽,,实配冗余双交流电源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7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防火墙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t>H3C SecPath F1000-AI-90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整机吞吐量&gt;25Gbps，并发连接数&gt;1000万，新建连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接数&gt;24万;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配置&gt;14个千兆电口，&gt;8个千兆光口，&gt;8个万兆光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口;满足上述接口后，支持&gt;4接口扩展模块;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配置&gt;3年IPS、AV防病毒特征库授权;配置&gt;1块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500GB HDD 硬盘模块，可支持双硬盘;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配置25套SSL VPN用户并发授权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8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防火墙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锐捷</w:t>
            </w:r>
            <w:r>
              <w:t>RG-RSR10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传输速率：10/100Mbps 3GE(2GE电+1GE光)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9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信息安全审计平台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天锐锋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OSAG-3000R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信息安全审计平台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10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网闸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伟思信安</w:t>
            </w:r>
            <w:r>
              <w:t>ViGap200AE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伟思信安ViGap200AE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11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安全隔离与信息交互系统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安盟信息嵌入式软件</w:t>
            </w: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安盟信息嵌入式软件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12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杀毒软件授权服务器</w:t>
            </w:r>
            <w:r>
              <w:rPr>
                <w:rFonts w:hint="eastAsia"/>
                <w:lang w:eastAsia="zh-CN"/>
              </w:rPr>
              <w:t>端</w:t>
            </w:r>
            <w:bookmarkStart w:id="4" w:name="_GoBack"/>
            <w:bookmarkEnd w:id="4"/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系统漏洞扫描、补丁修复管理、终端基线检查、资产盘点、资产主动发现、轻补丁漏洞免疫、弱密码检测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件实时监控、勒索诱饵防护、静态文件AI引擎、动态勒索行为AI引擎、勒索攻击对抗、无文件攻击防护、RDP二次认证、SSH二次认证、可信进程防护、关键目录加固、Webshell防护、无文件攻击防护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恶意文件检测、暴力破解检测、网端联动杀毒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终端行为数据采集、（单品）高级威胁行为检测（IOA）、（单品）攻击进程链可视化展示（单品）威胁狩猎、应用安全防护（RASP）、内存马检测等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文件急速隔离，终端一键隔离，感染文件修复，病毒处置响应，网端深度联动（SIP、AF、AC、XDR），全网威胁定位、主机流量采集； 简便运维：外设管控、违规外联检测、广告弹窗（高级版），授权≥20个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4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13</w:t>
            </w:r>
          </w:p>
        </w:tc>
        <w:tc>
          <w:tcPr>
            <w:tcW w:w="855" w:type="pct"/>
            <w:vAlign w:val="center"/>
          </w:tcPr>
          <w:p>
            <w:pPr>
              <w:spacing w:after="0"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杀毒软件授权PC</w:t>
            </w:r>
            <w:r>
              <w:rPr>
                <w:rFonts w:hint="eastAsia"/>
                <w:lang w:eastAsia="zh-CN"/>
              </w:rPr>
              <w:t>端</w:t>
            </w:r>
          </w:p>
        </w:tc>
        <w:tc>
          <w:tcPr>
            <w:tcW w:w="608" w:type="pct"/>
            <w:vAlign w:val="center"/>
          </w:tcPr>
          <w:p>
            <w:pPr>
              <w:spacing w:after="0" w:line="240" w:lineRule="atLeast"/>
            </w:pPr>
          </w:p>
        </w:tc>
        <w:tc>
          <w:tcPr>
            <w:tcW w:w="1551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系统漏洞扫描，补丁修复管理、终端基线检查，资产盘点，资产主动发现，轻补丁漏洞免疫；文件实时监控、勒索诱饵防护、静态文件AI引擎、动态勒索行为AI引擎、勒索攻击对抗、无文件攻击防护、RDP二次认证、可信进程防护、关键目录加固</w:t>
            </w:r>
          </w:p>
          <w:p>
            <w:pPr>
              <w:spacing w:after="0" w:line="240" w:lineRule="atLeast"/>
            </w:pPr>
            <w:r>
              <w:rPr>
                <w:rFonts w:hint="eastAsia"/>
              </w:rPr>
              <w:t>恶意文件检测、暴力破解检测、网端联动杀毒（SIP、AC、AF、XDR）终端行为数据采集、（单品）高级威胁行为检测（IOA）、（单品）攻击进程链可视化展示（单品）威胁狩猎、内存马检测等，文件急速隔离、终端一键隔离、感染文件修复、病毒处置响应、域名隔离、进程阻断、网端深度联动（与SIP、AC、AF、XDR）、全网威胁定位，外设管控、违规外联检测、远程桌面、广告弹窗拦截（高级版）、屏幕水印、应用管控。授权≥500个</w:t>
            </w:r>
          </w:p>
        </w:tc>
        <w:tc>
          <w:tcPr>
            <w:tcW w:w="367" w:type="pct"/>
            <w:vAlign w:val="center"/>
          </w:tcPr>
          <w:p>
            <w:pPr>
              <w:spacing w:after="0" w:line="240" w:lineRule="atLeast"/>
            </w:pPr>
            <w:r>
              <w:rPr>
                <w:rFonts w:hint="eastAsia"/>
              </w:rPr>
              <w:t>1项</w:t>
            </w:r>
          </w:p>
        </w:tc>
        <w:tc>
          <w:tcPr>
            <w:tcW w:w="585" w:type="pct"/>
          </w:tcPr>
          <w:p>
            <w:pPr>
              <w:spacing w:after="0" w:line="240" w:lineRule="atLeast"/>
            </w:pPr>
          </w:p>
        </w:tc>
        <w:tc>
          <w:tcPr>
            <w:tcW w:w="586" w:type="pct"/>
          </w:tcPr>
          <w:p>
            <w:pPr>
              <w:spacing w:after="0" w:line="240" w:lineRule="atLeast"/>
            </w:pPr>
          </w:p>
        </w:tc>
      </w:tr>
    </w:tbl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p>
      <w:pPr>
        <w:pStyle w:val="3"/>
        <w:ind w:firstLine="0"/>
        <w:jc w:val="center"/>
        <w:outlineLvl w:val="0"/>
        <w:rPr>
          <w:rFonts w:hint="eastAsia" w:ascii="宋体" w:hAnsi="宋体" w:cs="宋体"/>
          <w:sz w:val="32"/>
          <w:szCs w:val="32"/>
        </w:rPr>
      </w:pPr>
    </w:p>
    <w:bookmarkEnd w:id="2"/>
    <w:bookmarkEnd w:id="3"/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spacing w:line="312" w:lineRule="auto"/>
        <w:jc w:val="center"/>
        <w:rPr>
          <w:rFonts w:hint="eastAsia"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梧州市中医医院信息安全维保服务价格表</w:t>
      </w: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spacing w:line="312" w:lineRule="auto"/>
        <w:rPr>
          <w:rFonts w:hint="eastAsia" w:ascii="宋体" w:hAnsi="宋体" w:cs="宋体"/>
          <w:b/>
          <w:bCs/>
          <w:szCs w:val="21"/>
        </w:rPr>
      </w:pPr>
    </w:p>
    <w:p>
      <w:pPr>
        <w:pStyle w:val="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3"/>
        <w:rPr>
          <w:rFonts w:hint="eastAsia" w:ascii="宋体" w:hAnsi="宋体" w:cs="宋体"/>
          <w:b/>
          <w:bCs/>
          <w:szCs w:val="21"/>
        </w:rPr>
      </w:pPr>
    </w:p>
    <w:p>
      <w:pPr>
        <w:rPr>
          <w:rFonts w:hint="eastAsia" w:ascii="宋体" w:hAnsi="宋体" w:cs="宋体"/>
          <w:b/>
          <w:bCs/>
          <w:szCs w:val="21"/>
        </w:rPr>
      </w:pPr>
    </w:p>
    <w:p>
      <w:pPr>
        <w:pStyle w:val="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3"/>
        <w:rPr>
          <w:rFonts w:hint="eastAsia" w:ascii="宋体" w:hAnsi="宋体" w:cs="宋体"/>
          <w:b/>
          <w:bCs/>
          <w:szCs w:val="21"/>
        </w:rPr>
      </w:pPr>
    </w:p>
    <w:p>
      <w:pPr>
        <w:rPr>
          <w:rFonts w:hint="eastAsia" w:ascii="宋体" w:hAnsi="宋体" w:cs="宋体"/>
          <w:b/>
          <w:bCs/>
          <w:szCs w:val="21"/>
        </w:rPr>
      </w:pPr>
    </w:p>
    <w:p>
      <w:pPr>
        <w:pStyle w:val="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pStyle w:val="3"/>
        <w:rPr>
          <w:rFonts w:hint="eastAsia" w:ascii="宋体" w:hAnsi="宋体" w:cs="宋体"/>
          <w:b/>
          <w:bCs/>
          <w:szCs w:val="21"/>
        </w:rPr>
      </w:pPr>
    </w:p>
    <w:p>
      <w:pPr>
        <w:rPr>
          <w:rFonts w:hint="eastAsia" w:ascii="宋体" w:hAnsi="宋体" w:cs="宋体"/>
          <w:b/>
          <w:bCs/>
          <w:szCs w:val="21"/>
        </w:rPr>
      </w:pPr>
    </w:p>
    <w:p>
      <w:pPr>
        <w:pStyle w:val="2"/>
        <w:rPr>
          <w:rFonts w:hint="eastAsia" w:ascii="宋体" w:hAnsi="宋体" w:cs="宋体"/>
          <w:b/>
          <w:bCs/>
          <w:sz w:val="21"/>
          <w:szCs w:val="21"/>
        </w:rPr>
      </w:pPr>
    </w:p>
    <w:p>
      <w:pPr>
        <w:rPr>
          <w:rFonts w:hint="eastAsia" w:ascii="宋体" w:hAnsi="宋体" w:cs="宋体"/>
          <w:b/>
          <w:bCs/>
          <w:szCs w:val="21"/>
        </w:rPr>
      </w:pPr>
    </w:p>
    <w:tbl>
      <w:tblPr>
        <w:tblStyle w:val="13"/>
        <w:tblW w:w="10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221"/>
        <w:gridCol w:w="113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72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项目内容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数量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7221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一、服务清单内容详见需求参数表响应表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二、服务细则：（1）原厂远程技术支持服务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提供7×24小时电话技术咨询支持（包含电话、邮件、远程桌面支持）；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（2）快速备件先行更换服务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经过原厂工程师定位问题为硬件故障需更换硬件后，要求原厂备件先到现场进行更换，再将坏件寄回，对所维保设备所产生的维修费、配件费、日常检查保养费由成交服务商承担；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（3）软件版本升级服务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维保期间，提供维保网络安全设备的免费软件升级服务，如软件补丁（BUG Fixes）、更新软件（Updates），进行软件版本的评估和风险分析，并保证升级后的系统能够稳定的运行；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（4）在线支持服务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维保期间，供应商需提供原厂7*24小时在线支持服务，包含但不限于微信、QQ、原厂论坛灯；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（5）巡检服务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求在服务内，定期提供原厂网络安全设备巡检服务，通过原厂专业的网络巡检工具针对维保设备进行巡检，并在巡检后一周内提交巡检报告，如发现隐患，需协调人员进行处理，排除隐患；提供每年不少于4次现场巡检服务，并提供巡检服务总结报告。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（6）问题咨询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维保期间，业主可能不定期向中标服务商进行问题咨询，在中标服务商无法解答的情况下，需协调原厂工程师解决业主咨询的问题；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7）为保证维保服务质量，供应商必须保证提供的维保产品配件是正规渠道的原厂产品配件，并且与采购人原部件品牌、型号相同，如发生相关纠纷，由竞标人解决并承担全部责任，与采购人无关，为确保中标商可提供原厂商备品备件，竞标人竞标时必须提供产品原厂商提供的《原厂服务承诺书》，否则竞标无效。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（8）在中标服务商中标30天内，必须提供原厂授权许可证，用于项目验收。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1年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>
      <w:pPr>
        <w:pStyle w:val="2"/>
      </w:pPr>
    </w:p>
    <w:sectPr>
      <w:footerReference r:id="rId3" w:type="default"/>
      <w:pgSz w:w="11906" w:h="16838"/>
      <w:pgMar w:top="1928" w:right="1531" w:bottom="1757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0AF0"/>
    <w:multiLevelType w:val="multilevel"/>
    <w:tmpl w:val="24370AF0"/>
    <w:lvl w:ilvl="0" w:tentative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1755FD1"/>
    <w:multiLevelType w:val="multilevel"/>
    <w:tmpl w:val="71755FD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ZmVjNTEyOTE0NWMwZDY1OWNiMWM4MzIzYTg2MzYifQ=="/>
  </w:docVars>
  <w:rsids>
    <w:rsidRoot w:val="001B2F2D"/>
    <w:rsid w:val="00000DAF"/>
    <w:rsid w:val="000C3660"/>
    <w:rsid w:val="000E3FC3"/>
    <w:rsid w:val="00126256"/>
    <w:rsid w:val="00151B16"/>
    <w:rsid w:val="001A14EA"/>
    <w:rsid w:val="001B2F2D"/>
    <w:rsid w:val="00213CF6"/>
    <w:rsid w:val="00225A08"/>
    <w:rsid w:val="00253775"/>
    <w:rsid w:val="002C06CF"/>
    <w:rsid w:val="002C73EF"/>
    <w:rsid w:val="00360B66"/>
    <w:rsid w:val="003D6E0B"/>
    <w:rsid w:val="00445A00"/>
    <w:rsid w:val="00464FAF"/>
    <w:rsid w:val="004C171B"/>
    <w:rsid w:val="00575A0F"/>
    <w:rsid w:val="005A1245"/>
    <w:rsid w:val="00787782"/>
    <w:rsid w:val="007B1FCF"/>
    <w:rsid w:val="008A0F7A"/>
    <w:rsid w:val="008C602C"/>
    <w:rsid w:val="008F6EB2"/>
    <w:rsid w:val="00920AAA"/>
    <w:rsid w:val="00963367"/>
    <w:rsid w:val="00A63FFD"/>
    <w:rsid w:val="00B8014A"/>
    <w:rsid w:val="00B86622"/>
    <w:rsid w:val="00B96453"/>
    <w:rsid w:val="00BA24C3"/>
    <w:rsid w:val="00BC4650"/>
    <w:rsid w:val="00C049B6"/>
    <w:rsid w:val="00D070EA"/>
    <w:rsid w:val="00DD32A5"/>
    <w:rsid w:val="00DD4797"/>
    <w:rsid w:val="00E37371"/>
    <w:rsid w:val="00E67241"/>
    <w:rsid w:val="00E94C99"/>
    <w:rsid w:val="00EC5D25"/>
    <w:rsid w:val="00F3191C"/>
    <w:rsid w:val="00FC4536"/>
    <w:rsid w:val="017716F4"/>
    <w:rsid w:val="01875299"/>
    <w:rsid w:val="0198159D"/>
    <w:rsid w:val="01A31BC0"/>
    <w:rsid w:val="02884698"/>
    <w:rsid w:val="040C6A6B"/>
    <w:rsid w:val="05672456"/>
    <w:rsid w:val="06422A77"/>
    <w:rsid w:val="067D33B3"/>
    <w:rsid w:val="06A136B9"/>
    <w:rsid w:val="06C76C7A"/>
    <w:rsid w:val="07181283"/>
    <w:rsid w:val="07716B0D"/>
    <w:rsid w:val="08002443"/>
    <w:rsid w:val="08833548"/>
    <w:rsid w:val="08E25FED"/>
    <w:rsid w:val="09120680"/>
    <w:rsid w:val="09A339CE"/>
    <w:rsid w:val="09DD68F3"/>
    <w:rsid w:val="0ACB31DC"/>
    <w:rsid w:val="0B696551"/>
    <w:rsid w:val="0B963927"/>
    <w:rsid w:val="0BDA6BB3"/>
    <w:rsid w:val="0BF978D5"/>
    <w:rsid w:val="0D993821"/>
    <w:rsid w:val="0DC6168F"/>
    <w:rsid w:val="0ED35847"/>
    <w:rsid w:val="0ED4462A"/>
    <w:rsid w:val="0F3155D8"/>
    <w:rsid w:val="0F783207"/>
    <w:rsid w:val="102313C5"/>
    <w:rsid w:val="102A0D42"/>
    <w:rsid w:val="106043C7"/>
    <w:rsid w:val="108A2BF5"/>
    <w:rsid w:val="11241C6E"/>
    <w:rsid w:val="124570BA"/>
    <w:rsid w:val="13203999"/>
    <w:rsid w:val="139D288D"/>
    <w:rsid w:val="14634486"/>
    <w:rsid w:val="14681A9C"/>
    <w:rsid w:val="148C79F4"/>
    <w:rsid w:val="14F60FB2"/>
    <w:rsid w:val="157E0E4B"/>
    <w:rsid w:val="15814FAE"/>
    <w:rsid w:val="17B80644"/>
    <w:rsid w:val="17F02F69"/>
    <w:rsid w:val="180578D0"/>
    <w:rsid w:val="1898470F"/>
    <w:rsid w:val="18BC6B1D"/>
    <w:rsid w:val="18E80B76"/>
    <w:rsid w:val="18ED07C2"/>
    <w:rsid w:val="19A262D7"/>
    <w:rsid w:val="19D379B8"/>
    <w:rsid w:val="1A98475D"/>
    <w:rsid w:val="1BD34639"/>
    <w:rsid w:val="1C005C41"/>
    <w:rsid w:val="1C14576A"/>
    <w:rsid w:val="1C5803F8"/>
    <w:rsid w:val="1D304123"/>
    <w:rsid w:val="1DA87B6A"/>
    <w:rsid w:val="1E236A34"/>
    <w:rsid w:val="1E5D0198"/>
    <w:rsid w:val="1EF44211"/>
    <w:rsid w:val="1F2A3EED"/>
    <w:rsid w:val="1F6765E2"/>
    <w:rsid w:val="1FAA11BB"/>
    <w:rsid w:val="1FC35DD8"/>
    <w:rsid w:val="1FCF190A"/>
    <w:rsid w:val="20C733F7"/>
    <w:rsid w:val="2144119B"/>
    <w:rsid w:val="21C67E02"/>
    <w:rsid w:val="23E34C9B"/>
    <w:rsid w:val="241067BA"/>
    <w:rsid w:val="246C2EE2"/>
    <w:rsid w:val="24D25416"/>
    <w:rsid w:val="24FA6740"/>
    <w:rsid w:val="256E2C8A"/>
    <w:rsid w:val="25804CFA"/>
    <w:rsid w:val="26347FD3"/>
    <w:rsid w:val="269404CF"/>
    <w:rsid w:val="26DA7CC8"/>
    <w:rsid w:val="2742617D"/>
    <w:rsid w:val="27881AA3"/>
    <w:rsid w:val="27A934BE"/>
    <w:rsid w:val="27A961FC"/>
    <w:rsid w:val="27AF6EEF"/>
    <w:rsid w:val="27F54F9D"/>
    <w:rsid w:val="28D948BF"/>
    <w:rsid w:val="2AF27EBA"/>
    <w:rsid w:val="2C2C73FB"/>
    <w:rsid w:val="2C9730A0"/>
    <w:rsid w:val="2D74105A"/>
    <w:rsid w:val="2DD41AF8"/>
    <w:rsid w:val="2F7D132D"/>
    <w:rsid w:val="31480833"/>
    <w:rsid w:val="314D409C"/>
    <w:rsid w:val="315216B2"/>
    <w:rsid w:val="319620CE"/>
    <w:rsid w:val="31EF6F01"/>
    <w:rsid w:val="325B00F2"/>
    <w:rsid w:val="32C739DA"/>
    <w:rsid w:val="33092244"/>
    <w:rsid w:val="33165894"/>
    <w:rsid w:val="33270FD5"/>
    <w:rsid w:val="34433534"/>
    <w:rsid w:val="344D25CB"/>
    <w:rsid w:val="345B0CBE"/>
    <w:rsid w:val="34B14942"/>
    <w:rsid w:val="350902DA"/>
    <w:rsid w:val="35315A9F"/>
    <w:rsid w:val="355157DD"/>
    <w:rsid w:val="355D6D9F"/>
    <w:rsid w:val="36CC7811"/>
    <w:rsid w:val="37773C20"/>
    <w:rsid w:val="382D0783"/>
    <w:rsid w:val="38563836"/>
    <w:rsid w:val="39C8164D"/>
    <w:rsid w:val="3A970136"/>
    <w:rsid w:val="3B00217F"/>
    <w:rsid w:val="3B4402BD"/>
    <w:rsid w:val="3C5E715D"/>
    <w:rsid w:val="3DC00139"/>
    <w:rsid w:val="3E4D3BD3"/>
    <w:rsid w:val="3EBE0387"/>
    <w:rsid w:val="3EC15781"/>
    <w:rsid w:val="3EEF22EE"/>
    <w:rsid w:val="3F3D5750"/>
    <w:rsid w:val="3F4C08E9"/>
    <w:rsid w:val="3F4C39D9"/>
    <w:rsid w:val="408847A8"/>
    <w:rsid w:val="40C756E8"/>
    <w:rsid w:val="40E40203"/>
    <w:rsid w:val="414032D5"/>
    <w:rsid w:val="42097B6B"/>
    <w:rsid w:val="426315F4"/>
    <w:rsid w:val="429934B6"/>
    <w:rsid w:val="42FB3958"/>
    <w:rsid w:val="43AD5D7F"/>
    <w:rsid w:val="449B7833"/>
    <w:rsid w:val="45B002FD"/>
    <w:rsid w:val="46C82208"/>
    <w:rsid w:val="472B0583"/>
    <w:rsid w:val="47C00CCC"/>
    <w:rsid w:val="48D40BBB"/>
    <w:rsid w:val="48DF402C"/>
    <w:rsid w:val="492B6619"/>
    <w:rsid w:val="49570CBB"/>
    <w:rsid w:val="4A3B6D2F"/>
    <w:rsid w:val="4A717406"/>
    <w:rsid w:val="4A745D9D"/>
    <w:rsid w:val="4A9D2383"/>
    <w:rsid w:val="4AB93457"/>
    <w:rsid w:val="4AEF4153"/>
    <w:rsid w:val="4B0233A9"/>
    <w:rsid w:val="4B7A3887"/>
    <w:rsid w:val="4BB3736D"/>
    <w:rsid w:val="4BC6305D"/>
    <w:rsid w:val="4C475A00"/>
    <w:rsid w:val="4C6836E0"/>
    <w:rsid w:val="4CCA6149"/>
    <w:rsid w:val="4D9E78F3"/>
    <w:rsid w:val="4E933499"/>
    <w:rsid w:val="4EDB44D8"/>
    <w:rsid w:val="4FF57980"/>
    <w:rsid w:val="503419E6"/>
    <w:rsid w:val="506A143A"/>
    <w:rsid w:val="50A8054F"/>
    <w:rsid w:val="50D70E34"/>
    <w:rsid w:val="51143E36"/>
    <w:rsid w:val="516E79EA"/>
    <w:rsid w:val="51B01DB1"/>
    <w:rsid w:val="52F423BC"/>
    <w:rsid w:val="54A04704"/>
    <w:rsid w:val="54A35BFD"/>
    <w:rsid w:val="54B511BC"/>
    <w:rsid w:val="553700F3"/>
    <w:rsid w:val="554A23B2"/>
    <w:rsid w:val="555313D1"/>
    <w:rsid w:val="5647394F"/>
    <w:rsid w:val="56DE116E"/>
    <w:rsid w:val="57216542"/>
    <w:rsid w:val="588418A2"/>
    <w:rsid w:val="58C23664"/>
    <w:rsid w:val="5A217462"/>
    <w:rsid w:val="5A315A59"/>
    <w:rsid w:val="5A90452E"/>
    <w:rsid w:val="5C5A4700"/>
    <w:rsid w:val="5C930305"/>
    <w:rsid w:val="5CDC30C9"/>
    <w:rsid w:val="5CFA65D6"/>
    <w:rsid w:val="5D6112A6"/>
    <w:rsid w:val="5DA21364"/>
    <w:rsid w:val="5DC15346"/>
    <w:rsid w:val="5E8A5738"/>
    <w:rsid w:val="5F0C25F1"/>
    <w:rsid w:val="5F282517"/>
    <w:rsid w:val="5FBF7663"/>
    <w:rsid w:val="60687CFB"/>
    <w:rsid w:val="623A400D"/>
    <w:rsid w:val="62CC4571"/>
    <w:rsid w:val="634764AA"/>
    <w:rsid w:val="639C0BAB"/>
    <w:rsid w:val="6442771F"/>
    <w:rsid w:val="64E5191A"/>
    <w:rsid w:val="655A5E64"/>
    <w:rsid w:val="674E72EB"/>
    <w:rsid w:val="67804D3D"/>
    <w:rsid w:val="679A69EC"/>
    <w:rsid w:val="68C1444C"/>
    <w:rsid w:val="68F1232B"/>
    <w:rsid w:val="68F55EA4"/>
    <w:rsid w:val="69431305"/>
    <w:rsid w:val="6A297382"/>
    <w:rsid w:val="6B52582F"/>
    <w:rsid w:val="6C223454"/>
    <w:rsid w:val="6C753814"/>
    <w:rsid w:val="6D003795"/>
    <w:rsid w:val="6D014181"/>
    <w:rsid w:val="6D27790C"/>
    <w:rsid w:val="6D4D2752"/>
    <w:rsid w:val="6D50172F"/>
    <w:rsid w:val="6D5533B5"/>
    <w:rsid w:val="6D7D164B"/>
    <w:rsid w:val="6D9739CD"/>
    <w:rsid w:val="6E526B93"/>
    <w:rsid w:val="6F284AA6"/>
    <w:rsid w:val="70C866F5"/>
    <w:rsid w:val="70D56CE6"/>
    <w:rsid w:val="70FA674D"/>
    <w:rsid w:val="714E555D"/>
    <w:rsid w:val="71704C61"/>
    <w:rsid w:val="718F158B"/>
    <w:rsid w:val="727C2D17"/>
    <w:rsid w:val="72F53670"/>
    <w:rsid w:val="73B60A1F"/>
    <w:rsid w:val="740578E3"/>
    <w:rsid w:val="7427759D"/>
    <w:rsid w:val="759E3B4B"/>
    <w:rsid w:val="76DF08BF"/>
    <w:rsid w:val="77147E3D"/>
    <w:rsid w:val="77364257"/>
    <w:rsid w:val="783339D9"/>
    <w:rsid w:val="790463BB"/>
    <w:rsid w:val="79645E66"/>
    <w:rsid w:val="79D02A72"/>
    <w:rsid w:val="7A5213A8"/>
    <w:rsid w:val="7A5A025C"/>
    <w:rsid w:val="7AAF70E6"/>
    <w:rsid w:val="7BF76AA5"/>
    <w:rsid w:val="7D851A94"/>
    <w:rsid w:val="7E6B3330"/>
    <w:rsid w:val="7F1430D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1">
    <w:name w:val="Normal (Web)"/>
    <w:basedOn w:val="1"/>
    <w:qFormat/>
    <w:uiPriority w:val="0"/>
    <w:pPr>
      <w:spacing w:beforeAutospacing="1" w:after="0" w:afterAutospacing="1"/>
      <w:jc w:val="left"/>
    </w:pPr>
    <w:rPr>
      <w:kern w:val="0"/>
      <w:sz w:val="24"/>
    </w:rPr>
  </w:style>
  <w:style w:type="paragraph" w:styleId="12">
    <w:name w:val="Body Text First Indent"/>
    <w:basedOn w:val="2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页眉 字符"/>
    <w:basedOn w:val="15"/>
    <w:link w:val="8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445</Words>
  <Characters>2543</Characters>
  <Lines>21</Lines>
  <Paragraphs>5</Paragraphs>
  <TotalTime>0</TotalTime>
  <ScaleCrop>false</ScaleCrop>
  <LinksUpToDate>false</LinksUpToDate>
  <CharactersWithSpaces>2983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2025-03-22T01:52:00Z</dcterms:created>
  <dc:creator>Administrator</dc:creator>
  <cp:lastModifiedBy>吴浩正وليد</cp:lastModifiedBy>
  <cp:lastPrinted>2024-12-13T04:03:00Z</cp:lastPrinted>
  <dcterms:modified xsi:type="dcterms:W3CDTF">2025-05-27T03:10:34Z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70D7FD7531CD429EB3EAF5B0A834749B_13</vt:lpwstr>
  </property>
  <property fmtid="{D5CDD505-2E9C-101B-9397-08002B2CF9AE}" pid="4" name="KSOTemplateDocerSaveRecord">
    <vt:lpwstr>eyJoZGlkIjoiMDIxZmVjNTEyOTE0NWMwZDY1OWNiMWM4MzIzYTg2MzYiLCJ1c2VySWQiOiIyMTc3OTI5MzEifQ==</vt:lpwstr>
  </property>
</Properties>
</file>