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A16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center"/>
        <w:outlineLvl w:val="0"/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  <w:lang w:val="en-US" w:eastAsia="zh-CN"/>
        </w:rPr>
        <w:t>梧州市中医医院</w:t>
      </w:r>
      <w:r>
        <w:rPr>
          <w:rFonts w:hint="eastAsia" w:ascii="方正小标宋_GBK" w:hAnsi="方正小标宋_GBK" w:eastAsia="方正小标宋_GBK" w:cs="方正小标宋_GBK"/>
          <w:color w:val="1F2329"/>
          <w:sz w:val="44"/>
          <w:szCs w:val="44"/>
        </w:rPr>
        <w:t>非感染性医用织物洗涤服务项目调研公告</w:t>
      </w:r>
    </w:p>
    <w:bookmarkEnd w:id="0"/>
    <w:p w14:paraId="59524C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00" w:firstLineChars="20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0"/>
          <w:szCs w:val="30"/>
          <w:lang w:val="en-US" w:eastAsia="zh-CN" w:bidi="ar"/>
        </w:rPr>
        <w:t>为充分了解市场供应情况，科学制定采购需求，我院拟对非感染性医用织物洗涤服务项目进行公开市场调研，欢迎符合条件的供应商报名参与。现将有关事项公告如下：</w:t>
      </w:r>
    </w:p>
    <w:p w14:paraId="04FFB94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outlineLvl w:val="1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一、项目概况</w:t>
      </w:r>
    </w:p>
    <w:p w14:paraId="642997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项目名称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：梧州市中医医院非感染性医用织物洗涤服务项目</w:t>
      </w:r>
    </w:p>
    <w:p w14:paraId="60D8C9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项目概述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：本项目涵盖我院范围内全部非感染性医用织物（含工作人员布类、手术室洗手衣（无血液、体液）、床单、被褥、毛毯、窗帘等）的洗涤、消毒、熨烫、折叠、缝补、运送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分装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等全流程服务。医院将根据实际情况有权对每日洗涤数量进行增减。</w:t>
      </w:r>
    </w:p>
    <w:p w14:paraId="40C1E8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项目地址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：梧州市新兴二路 142 号</w:t>
      </w:r>
    </w:p>
    <w:p w14:paraId="180719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服务期限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：一年</w:t>
      </w:r>
    </w:p>
    <w:p w14:paraId="304E436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outlineLvl w:val="1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二、服务要求</w:t>
      </w:r>
    </w:p>
    <w:p w14:paraId="22D243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 w:firstLine="600" w:firstLineChars="20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0"/>
          <w:szCs w:val="30"/>
          <w:lang w:val="en-US" w:eastAsia="zh-CN" w:bidi="ar"/>
        </w:rPr>
        <w:t>本项目服务需严格执行卫生部颁布的《医院医用织物洗涤消毒技术规范》（WS/T508-2025）、《医院感染管理规范》等相关技术规范及国家卫生、环保等行政管理部门的强制要求。</w:t>
      </w:r>
    </w:p>
    <w:p w14:paraId="1CA4EE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布草分类处理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布类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其他单位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布类分机/分批洗涤；婴幼儿被服、手术室洗手衣（无血液、体液）、窗帘单独分机洗涤，不得与其他织物混洗；医务人员工作服单独清点，专机专人负责全流程处理（消毒、洗涤、烘干、折叠、存放、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定点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收送），与其他布草隔离；不同颜色织物单独分机洗涤。</w:t>
      </w:r>
    </w:p>
    <w:p w14:paraId="2EC824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洗涤质量标准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：织物洗涤后需洁净平整、柔软无异味，白色不泛黄泛灰、彩色不串色，无缩水、褪色、破损、污渍等问题；物理及微生物指标符合 WS/T508-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要求；除受热易变形材料（化纤、羊毛类等）特殊织物外，均采用高温洗涤；工作服纽扣、附件完整，按要求折叠；清理医务人员制服口袋物品，因口红、碳素墨水等造成串色的由供应商承担责任，需无偿重洗。</w:t>
      </w:r>
    </w:p>
    <w:p w14:paraId="2B5476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缝补要求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：工作服缺扣、拉链破损需及时修补或更换；其他织物破损需均匀整齐缝补，补扣与原扣匹配，缝补部位实用美观；破损织物交接时需提供补衣单（注明名称、数量），缝补周期不超过 2 天；缝补使用的扣、线、松紧带等配件由供应商提供。</w:t>
      </w:r>
    </w:p>
    <w:p w14:paraId="211C7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流程与场所管理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供应商需按织物特性制定专属消毒洗涤工艺，规范执行清洗、消毒、暂存、包装、运输全流程；洗涤场所污染区（脏污织物收集区、分拣区、洗涤区、消毒区）与清洁区（洗涤消毒后暂存区、烘干区、整烫区、整理折叠区、发放区、缝补区、储存区）之间需设置全封闭式、实质性隔断；污染区工作时保持良好通风，每日定时做好地表消毒；医院有权抽查检验，对问题要求限期整改。</w:t>
      </w:r>
    </w:p>
    <w:p w14:paraId="7BB2FC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晾（烘）干、熨烫与储存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：织物需分区晾（烘）干、熨烫、折叠和储存，不得混杂；儿科织物需设置专用烘干、熨烫、折叠、储存区域，不可与其他织物混淆；折叠后织物平整，无穿孔、无缺损、无粘附物；熨烫时重点关注易污染部位。</w:t>
      </w:r>
    </w:p>
    <w:p w14:paraId="09EC1E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运输与交接规范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：配置使用后织物与清洁织物专用封闭车辆及容器，专车专用、分区存放，不与非布草混运；运输工具定期消毒，运送脏污织物后一用一消毒（参照《医疗机构消毒技术规范》）；供应商在</w:t>
      </w: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医院指定位置统一接收脏污织物、送达洁净织物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，全程与我院洗衣班进行交接；收污人员须做好个人防护（穿戴防护服、手套、口罩、帽子等）；</w:t>
      </w: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收送服务每日一次，当日接收脏污织物，次日在指定位置交付洁净织物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供应商需将洗净布草按科室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分类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打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包，清点在医院指定交接位置进行；双方交接时当面核对清点、签字确认，每日清点表存档，供应商需提供每日纸质版及每月电子版清洗清单，清点方式可协商调整。</w:t>
      </w:r>
    </w:p>
    <w:p w14:paraId="5AB33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人员与服务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供应商需配备专职工作人员，负责织物洗涤、运输、交接及缝补、报损等相关工作，费用由供应商承担；服务人员需遵守医院规章，不从事无关活动、不干扰医院工作，交接过程态度友好，及时协调数量质量争议，禁止与医院人员发生冲突。</w:t>
      </w:r>
    </w:p>
    <w:p w14:paraId="68AEA3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质量监督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：医院每月或不定期开展满意度测评（含清洁度、及时性、缝补质量、服务态度等），并抽查织物及洗涤场所；未达到洗涤质量要求的织物需无偿重洗，重洗织物需在 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个日历天内送回至医院指定位置。</w:t>
      </w:r>
    </w:p>
    <w:p w14:paraId="6C279CD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outlineLvl w:val="1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三、项目服务方案要求</w:t>
      </w:r>
    </w:p>
    <w:p w14:paraId="6615B8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0"/>
          <w:szCs w:val="30"/>
          <w:lang w:val="en-US" w:eastAsia="zh-CN" w:bidi="ar"/>
        </w:rPr>
        <w:t>供应商需提供参与本项目的整体服务方案，内容包括但不限于：</w:t>
      </w:r>
    </w:p>
    <w:p w14:paraId="48D532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全流程设计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：详细说明非感染性医用织物从医院指定位置接收、分类洗涤消毒、到指定位置交付的全流程，明确各环节操作顺序、责任人及时间节点。</w:t>
      </w:r>
    </w:p>
    <w:p w14:paraId="7F6B4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质量与防控保障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：明确织物洗涤质量控制标准、非感染性防控措施、关键岗位责任及洗涤场所卫生管理细则。</w:t>
      </w:r>
    </w:p>
    <w:p w14:paraId="2BE69B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应急与特殊处理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：说明停水、停电等突发情况的应对方案，以及院方特急件、特殊洗涤要求的处理方式。</w:t>
      </w:r>
    </w:p>
    <w:p w14:paraId="52174E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人员与物资配置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：列出拟投入的关键设备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主要洗涤消毒耗材（需安全有效，避免人员伤害及织物损坏）；明确从业人员数量、岗位职责及防护措施；说明运输车辆及收集容器的配置情况。</w:t>
      </w:r>
    </w:p>
    <w:p w14:paraId="615A6F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优化与整改承诺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：提出防范织物丢失、破损、分类错误的具体措施；明确洗涤质量不达标、交接不及时等问题的整改办法及承诺。</w:t>
      </w:r>
    </w:p>
    <w:p w14:paraId="4A349A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服务与售后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：说明服务承诺（含收送时效、质量保障等）、织物洗涤质量反馈处理流程及时限。</w:t>
      </w:r>
    </w:p>
    <w:p w14:paraId="5247DD5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outlineLvl w:val="1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四、供应商资格要求</w:t>
      </w:r>
    </w:p>
    <w:p w14:paraId="31988D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具有独立法人资格及与本项目相关的经营许可资质；</w:t>
      </w:r>
    </w:p>
    <w:p w14:paraId="1EAB23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信誉良好，近三年内无违法违规记录；</w:t>
      </w:r>
    </w:p>
    <w:p w14:paraId="31FCB3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有医院非感染性医用织物洗涤服务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或其他大型单位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类似项目业绩（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若有，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提供加盖公章的合同复印件）。</w:t>
      </w:r>
    </w:p>
    <w:p w14:paraId="5DDCE01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outlineLvl w:val="1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五、报名方式及要求</w:t>
      </w:r>
    </w:p>
    <w:p w14:paraId="52D572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报名时间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：202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年 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日至 202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年 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 xml:space="preserve"> 日，早上 8:00-12:00，下午 15:00-18:00（北京时间，节假日除外），逾期递交的报名文件不予受理。</w:t>
      </w:r>
    </w:p>
    <w:p w14:paraId="4676E2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提交资料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（所有材料需加盖供应商单位公章）：（1）完整的项目服务方案；（2）公司营业执照复印件；（3）供应商在 “信用中国” 网站（</w:t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instrText xml:space="preserve"> HYPERLINK "https://www.creditchina.gov.cn" \t "_blank" </w:instrText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57FF"/>
          <w:sz w:val="30"/>
          <w:szCs w:val="30"/>
        </w:rPr>
        <w:t>www.creditchina.gov.cn</w:t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）、中国政府采购网（</w:t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instrText xml:space="preserve"> HYPERLINK "https://www.ccgp.gov.cn" \t "_blank" </w:instrText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0057FF"/>
          <w:sz w:val="30"/>
          <w:szCs w:val="30"/>
        </w:rPr>
        <w:t>www.ccgp.gov.cn</w:t>
      </w:r>
      <w:r>
        <w:rPr>
          <w:rFonts w:hint="eastAsia" w:ascii="仿宋_GB2312" w:hAnsi="仿宋_GB2312" w:eastAsia="仿宋_GB2312" w:cs="仿宋_GB2312"/>
          <w:color w:val="0057FF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）的信用记录查询网页截图；（4）近三年类似项目（三级甲等医院非感染性医用织物洗涤服务）业绩表及合同复印件（若有）；（5）其他能体现自身优势的材料（如专利证书、服务体系认证、洗涤场所证明材料等；如有固定洗涤场所须提供房屋租赁证明或产权证明，无固定场所须出具承诺函，承诺中标后、合同签订前提供固定洗涤服务场所）；（6）报价表（详见附件 1）。</w:t>
      </w:r>
    </w:p>
    <w:p w14:paraId="7088C2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1F2329"/>
          <w:sz w:val="30"/>
          <w:szCs w:val="30"/>
        </w:rPr>
        <w:t>提交方式</w:t>
      </w: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：（1）现场或邮寄提交：梧州市新兴二路 142 号梧州市中医医院社区楼总务（3）室；（2）电子邮件提交：wzszyyyzwk@163.com（邮件主题格式：调研报名 + 公司名称 + 非感染性医用织物洗涤服务项目）。</w:t>
      </w:r>
    </w:p>
    <w:p w14:paraId="691CE50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outlineLvl w:val="1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六、注意事项</w:t>
      </w:r>
    </w:p>
    <w:p w14:paraId="2E0994C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本次调研仅为市场需求征集，不代表我院最终采购承诺；</w:t>
      </w:r>
    </w:p>
    <w:p w14:paraId="7ED350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供应商需保证所提供资料真实有效，弄虚作假者将取消本次调研参与资格，并列入我院供应商黑名单；</w:t>
      </w:r>
    </w:p>
    <w:p w14:paraId="679167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我院可能根据本次调研结果调整采购需求，最终采购要求以正式招标公告为准；</w:t>
      </w:r>
    </w:p>
    <w:p w14:paraId="0559C3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color w:val="1F23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1F2329"/>
          <w:sz w:val="30"/>
          <w:szCs w:val="30"/>
        </w:rPr>
        <w:t>调研过程中产生的一切费用由供应商自行承担，我院不给予任何补偿。</w:t>
      </w:r>
    </w:p>
    <w:p w14:paraId="486C24DC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515527A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10CFFD2">
      <w:pPr>
        <w:wordWrap w:val="0"/>
        <w:jc w:val="righ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梧州市中医医院 </w:t>
      </w:r>
    </w:p>
    <w:p w14:paraId="30A650A6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2026年2月27日</w:t>
      </w:r>
    </w:p>
    <w:p w14:paraId="5AB9FDF2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E1EA55B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349E457">
      <w:pPr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515B35E"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附件1：非感染性医用织物洗涤清单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 w14:paraId="0F6C21E7">
      <w:pPr>
        <w:pStyle w:val="4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附件一：</w:t>
      </w:r>
    </w:p>
    <w:p w14:paraId="5DEFC170">
      <w:pPr>
        <w:pStyle w:val="4"/>
        <w:jc w:val="center"/>
        <w:rPr>
          <w:rFonts w:hint="eastAsia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 w:val="36"/>
          <w:szCs w:val="36"/>
          <w:lang w:eastAsia="zh-CN"/>
        </w:rPr>
        <w:t>非感染性医用织物</w:t>
      </w:r>
      <w:r>
        <w:rPr>
          <w:rFonts w:hint="eastAsia"/>
          <w:color w:val="auto"/>
          <w:sz w:val="36"/>
          <w:szCs w:val="36"/>
        </w:rPr>
        <w:t>洗涤</w:t>
      </w:r>
      <w:r>
        <w:rPr>
          <w:rFonts w:hint="eastAsia"/>
          <w:color w:val="auto"/>
          <w:sz w:val="36"/>
          <w:szCs w:val="36"/>
          <w:lang w:val="en-US" w:eastAsia="zh-CN"/>
        </w:rPr>
        <w:t>清单（26项）</w:t>
      </w:r>
    </w:p>
    <w:p w14:paraId="411B8CC7">
      <w:pPr>
        <w:pStyle w:val="4"/>
        <w:jc w:val="center"/>
        <w:rPr>
          <w:rFonts w:hint="eastAsia"/>
          <w:color w:val="auto"/>
          <w:sz w:val="36"/>
          <w:szCs w:val="36"/>
          <w:lang w:val="en-US" w:eastAsia="zh-CN"/>
        </w:rPr>
      </w:pPr>
    </w:p>
    <w:tbl>
      <w:tblPr>
        <w:tblStyle w:val="5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06"/>
        <w:gridCol w:w="1616"/>
        <w:gridCol w:w="1336"/>
        <w:gridCol w:w="1306"/>
        <w:gridCol w:w="1617"/>
      </w:tblGrid>
      <w:tr w14:paraId="7A70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衣物名称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衣物名称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20CE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医护服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腹带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19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手术衣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7D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行政服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大毛巾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3A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工作裤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包布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30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洗手衣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凳套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B2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洗手裤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布横单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DC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值班被套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E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C4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值班床单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C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约束巾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1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值班枕套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新治疗巾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27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5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蚊帐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3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新机罩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52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大窗帘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幅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棉衣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D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小被套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衣物袋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E7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小枕巾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E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2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65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小毛巾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5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E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7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1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2C83F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F49AB"/>
    <w:rsid w:val="07545496"/>
    <w:rsid w:val="156D131B"/>
    <w:rsid w:val="1AD66ABF"/>
    <w:rsid w:val="26444F3D"/>
    <w:rsid w:val="3E4F49AB"/>
    <w:rsid w:val="49F7385E"/>
    <w:rsid w:val="4DE2613E"/>
    <w:rsid w:val="603445E0"/>
    <w:rsid w:val="6DC43225"/>
    <w:rsid w:val="7B290857"/>
    <w:rsid w:val="7BA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380" w:lineRule="exac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广西分公司</Company>
  <Pages>7</Pages>
  <Words>0</Words>
  <Characters>0</Characters>
  <Lines>0</Lines>
  <Paragraphs>0</Paragraphs>
  <TotalTime>1038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2026-02-05T07:31:00Z</dcterms:created>
  <dc:creator>张杰果</dc:creator>
  <cp:lastModifiedBy>Sy_Jessica</cp:lastModifiedBy>
  <cp:lastPrinted>2026-02-27T00:19:00Z</cp:lastPrinted>
  <dcterms:modified xsi:type="dcterms:W3CDTF">2026-02-27T00:29:50Z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2F1348FF526D40E9802CEF59C98A55CA_13</vt:lpwstr>
  </property>
</Properties>
</file>