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6"/>
        <w:gridCol w:w="1243"/>
        <w:gridCol w:w="977"/>
        <w:gridCol w:w="5835"/>
      </w:tblGrid>
      <w:tr w14:paraId="3C84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65" w:type="pct"/>
            <w:tcBorders>
              <w:top w:val="single" w:color="000000" w:sz="4" w:space="0"/>
              <w:left w:val="single" w:color="000000" w:sz="4" w:space="0"/>
              <w:bottom w:val="single" w:color="auto" w:sz="4" w:space="0"/>
              <w:right w:val="single" w:color="000000" w:sz="4" w:space="0"/>
            </w:tcBorders>
            <w:shd w:val="clear" w:color="auto" w:fill="5B9BD5"/>
            <w:noWrap/>
            <w:vAlign w:val="center"/>
          </w:tcPr>
          <w:p w14:paraId="56C983EE">
            <w:pPr>
              <w:jc w:val="both"/>
              <w:rPr>
                <w:rFonts w:hint="eastAsia"/>
              </w:rPr>
            </w:pPr>
            <w:r>
              <w:rPr>
                <w:rFonts w:hint="eastAsia"/>
                <w:lang w:val="en-US" w:eastAsia="zh-CN"/>
              </w:rPr>
              <w:t>序号</w:t>
            </w:r>
          </w:p>
        </w:tc>
        <w:tc>
          <w:tcPr>
            <w:tcW w:w="715" w:type="pct"/>
            <w:tcBorders>
              <w:top w:val="single" w:color="000000" w:sz="4" w:space="0"/>
              <w:left w:val="single" w:color="000000" w:sz="4" w:space="0"/>
              <w:bottom w:val="single" w:color="auto" w:sz="4" w:space="0"/>
              <w:right w:val="single" w:color="000000" w:sz="4" w:space="0"/>
            </w:tcBorders>
            <w:shd w:val="clear" w:color="auto" w:fill="5B9BD5"/>
            <w:vAlign w:val="center"/>
          </w:tcPr>
          <w:p w14:paraId="70E5C8DE">
            <w:pPr>
              <w:jc w:val="center"/>
              <w:rPr>
                <w:rFonts w:hint="default" w:eastAsiaTheme="minorEastAsia"/>
                <w:lang w:val="en-US" w:eastAsia="zh-CN"/>
              </w:rPr>
            </w:pPr>
            <w:r>
              <w:rPr>
                <w:rFonts w:hint="eastAsia"/>
                <w:lang w:val="en-US" w:eastAsia="zh-CN"/>
              </w:rPr>
              <w:t>产品名称</w:t>
            </w:r>
          </w:p>
        </w:tc>
        <w:tc>
          <w:tcPr>
            <w:tcW w:w="562" w:type="pct"/>
            <w:tcBorders>
              <w:top w:val="single" w:color="000000" w:sz="4" w:space="0"/>
              <w:left w:val="single" w:color="000000" w:sz="4" w:space="0"/>
              <w:bottom w:val="single" w:color="auto" w:sz="4" w:space="0"/>
              <w:right w:val="single" w:color="000000" w:sz="4" w:space="0"/>
            </w:tcBorders>
            <w:shd w:val="clear" w:color="auto" w:fill="5B9BD5"/>
            <w:vAlign w:val="center"/>
          </w:tcPr>
          <w:p w14:paraId="215C9102">
            <w:pPr>
              <w:jc w:val="center"/>
              <w:rPr>
                <w:rFonts w:hint="eastAsia"/>
                <w:lang w:val="en-US" w:eastAsia="zh-CN"/>
              </w:rPr>
            </w:pPr>
            <w:r>
              <w:rPr>
                <w:rFonts w:hint="eastAsia"/>
                <w:lang w:val="en-US" w:eastAsia="zh-CN"/>
              </w:rPr>
              <w:t>单位和数量</w:t>
            </w:r>
          </w:p>
        </w:tc>
        <w:tc>
          <w:tcPr>
            <w:tcW w:w="3356" w:type="pct"/>
            <w:tcBorders>
              <w:top w:val="single" w:color="000000" w:sz="4" w:space="0"/>
              <w:left w:val="single" w:color="000000" w:sz="4" w:space="0"/>
              <w:bottom w:val="single" w:color="auto" w:sz="4" w:space="0"/>
              <w:right w:val="single" w:color="000000" w:sz="4" w:space="0"/>
            </w:tcBorders>
            <w:shd w:val="clear" w:color="auto" w:fill="5B9BD5"/>
            <w:vAlign w:val="center"/>
          </w:tcPr>
          <w:p w14:paraId="7CD57B2E">
            <w:pPr>
              <w:jc w:val="center"/>
              <w:rPr>
                <w:rFonts w:hint="default" w:eastAsiaTheme="minorEastAsia"/>
                <w:lang w:val="en-US" w:eastAsia="zh-CN"/>
              </w:rPr>
            </w:pPr>
            <w:r>
              <w:rPr>
                <w:rFonts w:hint="eastAsia"/>
                <w:lang w:val="en-US" w:eastAsia="zh-CN"/>
              </w:rPr>
              <w:t>技术需求</w:t>
            </w:r>
          </w:p>
        </w:tc>
      </w:tr>
      <w:tr w14:paraId="213B3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32F1B25F">
            <w:pPr>
              <w:jc w:val="center"/>
              <w:rPr>
                <w:rFonts w:hint="default"/>
                <w:lang w:val="en-US" w:eastAsia="zh-CN"/>
              </w:rPr>
            </w:pPr>
            <w:r>
              <w:rPr>
                <w:rFonts w:hint="eastAsia"/>
                <w:lang w:val="en-US" w:eastAsia="zh-CN"/>
              </w:rPr>
              <w:t>1</w:t>
            </w: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2E9FF59E">
            <w:pPr>
              <w:jc w:val="center"/>
              <w:rPr>
                <w:rFonts w:hint="default"/>
                <w:lang w:val="en-US" w:eastAsia="zh-CN"/>
              </w:rPr>
            </w:pPr>
            <w:r>
              <w:rPr>
                <w:rFonts w:hint="eastAsia"/>
              </w:rPr>
              <w:t>终端安全管理（杀毒软件）</w:t>
            </w:r>
            <w:bookmarkStart w:id="0" w:name="_GoBack"/>
            <w:bookmarkEnd w:id="0"/>
          </w:p>
        </w:tc>
        <w:tc>
          <w:tcPr>
            <w:tcW w:w="562" w:type="pct"/>
            <w:tcBorders>
              <w:top w:val="single" w:color="auto" w:sz="4" w:space="0"/>
              <w:left w:val="single" w:color="auto" w:sz="4" w:space="0"/>
              <w:bottom w:val="single" w:color="auto" w:sz="4" w:space="0"/>
              <w:right w:val="single" w:color="auto" w:sz="4" w:space="0"/>
            </w:tcBorders>
            <w:shd w:val="clear" w:color="auto" w:fill="auto"/>
            <w:vAlign w:val="center"/>
          </w:tcPr>
          <w:p w14:paraId="4040213B">
            <w:pPr>
              <w:tabs>
                <w:tab w:val="left" w:pos="239"/>
              </w:tabs>
              <w:jc w:val="center"/>
              <w:rPr>
                <w:rFonts w:hint="default"/>
                <w:lang w:val="en-US" w:eastAsia="zh-CN"/>
              </w:rPr>
            </w:pPr>
            <w:r>
              <w:rPr>
                <w:rFonts w:hint="eastAsia"/>
                <w:lang w:val="en-US" w:eastAsia="zh-CN"/>
              </w:rPr>
              <w:t>1套</w:t>
            </w:r>
          </w:p>
        </w:tc>
        <w:tc>
          <w:tcPr>
            <w:tcW w:w="3356" w:type="pct"/>
            <w:tcBorders>
              <w:top w:val="single" w:color="auto" w:sz="4" w:space="0"/>
              <w:left w:val="single" w:color="auto" w:sz="4" w:space="0"/>
              <w:bottom w:val="single" w:color="auto" w:sz="4" w:space="0"/>
              <w:right w:val="single" w:color="auto" w:sz="4" w:space="0"/>
            </w:tcBorders>
            <w:shd w:val="clear" w:color="auto" w:fill="auto"/>
            <w:vAlign w:val="bottom"/>
          </w:tcPr>
          <w:p w14:paraId="31D2DD31">
            <w:pPr>
              <w:rPr>
                <w:rFonts w:hint="default"/>
                <w:color w:val="auto"/>
                <w:lang w:val="en-US" w:eastAsia="zh-CN"/>
              </w:rPr>
            </w:pPr>
            <w:r>
              <w:rPr>
                <w:rFonts w:hint="eastAsia"/>
                <w:color w:val="auto"/>
                <w:lang w:val="en-US" w:eastAsia="zh-CN"/>
              </w:rPr>
              <w:t>一、</w:t>
            </w:r>
            <w:r>
              <w:rPr>
                <w:rFonts w:hint="default"/>
                <w:color w:val="auto"/>
                <w:lang w:val="en-US" w:eastAsia="zh-CN"/>
              </w:rPr>
              <w:t>PC客户端安全防护软件</w:t>
            </w:r>
          </w:p>
          <w:p w14:paraId="322C1930">
            <w:pPr>
              <w:rPr>
                <w:rFonts w:hint="default"/>
                <w:color w:val="auto"/>
                <w:lang w:val="en-US" w:eastAsia="zh-CN"/>
              </w:rPr>
            </w:pPr>
            <w:r>
              <w:rPr>
                <w:rFonts w:hint="default"/>
                <w:color w:val="auto"/>
                <w:lang w:val="en-US" w:eastAsia="zh-CN"/>
              </w:rPr>
              <w:t>1.★产品支持纯软件交付，包含管理控制中心软件及终端客户端软件；本次提供PC客户端安全防护软件不少于700 套；；</w:t>
            </w:r>
          </w:p>
          <w:p w14:paraId="7A9518BD">
            <w:pPr>
              <w:rPr>
                <w:rFonts w:hint="default"/>
                <w:color w:val="auto"/>
                <w:lang w:val="en-US" w:eastAsia="zh-CN"/>
              </w:rPr>
            </w:pPr>
            <w:r>
              <w:rPr>
                <w:rFonts w:hint="default"/>
                <w:color w:val="auto"/>
                <w:lang w:val="en-US" w:eastAsia="zh-CN"/>
              </w:rPr>
              <w:t>2.★提供勒索病毒整体防护体系入口，直观展示最近七天勒索病毒防护效果，包括已处置的恶意文件数量、已拦截可疑行为次数、已阻止的未知进程操作次数、已阻止的暴力破解攻击次数；（提供产品界面截图并加盖投标人公章）</w:t>
            </w:r>
          </w:p>
          <w:p w14:paraId="71838804">
            <w:pPr>
              <w:rPr>
                <w:rFonts w:hint="default"/>
                <w:color w:val="auto"/>
                <w:lang w:val="en-US" w:eastAsia="zh-CN"/>
              </w:rPr>
            </w:pPr>
            <w:r>
              <w:rPr>
                <w:rFonts w:hint="default"/>
                <w:color w:val="auto"/>
                <w:lang w:val="en-US" w:eastAsia="zh-CN"/>
              </w:rPr>
              <w:t>3.支持跳转链接至云端威胁情报中心，针对已发生的威胁提供详细的分析结果，包含威胁分析、网络行为、静态分析、分析环境和影响分析；</w:t>
            </w:r>
          </w:p>
          <w:p w14:paraId="3DB1CA9F">
            <w:pPr>
              <w:rPr>
                <w:rFonts w:hint="default"/>
                <w:color w:val="auto"/>
                <w:lang w:val="en-US" w:eastAsia="zh-CN"/>
              </w:rPr>
            </w:pPr>
            <w:r>
              <w:rPr>
                <w:rFonts w:hint="default"/>
                <w:color w:val="auto"/>
                <w:lang w:val="en-US" w:eastAsia="zh-CN"/>
              </w:rPr>
              <w:t>4.★支持客户端的错峰升级，可根据实际情况控制客户端同时升级的最大数量，避免大量终端程序同时更新造成网络拥堵或I/O风暴；（提供产品界面截图并加盖投标人公章）</w:t>
            </w:r>
          </w:p>
          <w:p w14:paraId="038A154B">
            <w:pPr>
              <w:rPr>
                <w:rFonts w:hint="default"/>
                <w:color w:val="auto"/>
                <w:lang w:val="en-US" w:eastAsia="zh-CN"/>
              </w:rPr>
            </w:pPr>
            <w:r>
              <w:rPr>
                <w:rFonts w:hint="default"/>
                <w:color w:val="auto"/>
                <w:lang w:val="en-US" w:eastAsia="zh-CN"/>
              </w:rPr>
              <w:t>5.支持对系统账号信息进行梳理，了解账号权限分布概况以及风险账号分布情况，可按照隐藏账号、可疑root权限账号、长期未使用账号、夜间登录、多IP登录进行账号分类查看，支持统计最近一年未修改密码的账户；</w:t>
            </w:r>
          </w:p>
          <w:p w14:paraId="2A2BF905">
            <w:pPr>
              <w:rPr>
                <w:rFonts w:hint="default"/>
                <w:color w:val="auto"/>
                <w:lang w:val="en-US" w:eastAsia="zh-CN"/>
              </w:rPr>
            </w:pPr>
            <w:r>
              <w:rPr>
                <w:rFonts w:hint="default"/>
                <w:color w:val="auto"/>
                <w:lang w:val="en-US" w:eastAsia="zh-CN"/>
              </w:rPr>
              <w:t>6.支持全网视角的终端资产统一清点，便于帮助管理员快速发现风险面。清点信息包括操作系统、应用软件、监听端口和终端账户，其中操作系统和监听端口支持从资产和终端两个视角进行统计和展示；</w:t>
            </w:r>
          </w:p>
          <w:p w14:paraId="3DB887FE">
            <w:pPr>
              <w:rPr>
                <w:rFonts w:hint="default"/>
                <w:color w:val="auto"/>
                <w:lang w:val="en-US" w:eastAsia="zh-CN"/>
              </w:rPr>
            </w:pPr>
            <w:r>
              <w:rPr>
                <w:rFonts w:hint="eastAsia"/>
                <w:color w:val="auto"/>
                <w:lang w:val="en-US" w:eastAsia="zh-CN"/>
              </w:rPr>
              <w:t>7.★基于勒索病毒攻击过程，建立多维度立体防护机制，提供事前入侵防御-事中反加密-事后检测响应的完整防护体系，展示勒索病毒处置情况，对勒索病毒及变种实现专门有效防御；（提供产品界面截图并加盖投标人公章）</w:t>
            </w:r>
          </w:p>
          <w:p w14:paraId="7847C99C">
            <w:pPr>
              <w:rPr>
                <w:rFonts w:hint="default"/>
                <w:color w:val="auto"/>
                <w:lang w:val="en-US" w:eastAsia="zh-CN"/>
              </w:rPr>
            </w:pPr>
            <w:r>
              <w:rPr>
                <w:rFonts w:hint="default"/>
                <w:color w:val="auto"/>
                <w:lang w:val="en-US" w:eastAsia="zh-CN"/>
              </w:rPr>
              <w:t>8.提供软件升级应不少于3年；</w:t>
            </w:r>
          </w:p>
          <w:p w14:paraId="0495F296">
            <w:pPr>
              <w:rPr>
                <w:rFonts w:hint="default"/>
                <w:color w:val="auto"/>
                <w:lang w:val="en-US" w:eastAsia="zh-CN"/>
              </w:rPr>
            </w:pPr>
          </w:p>
          <w:p w14:paraId="20EFDED1">
            <w:pPr>
              <w:rPr>
                <w:rFonts w:hint="eastAsia"/>
                <w:color w:val="auto"/>
                <w:lang w:val="en-US" w:eastAsia="zh-CN"/>
              </w:rPr>
            </w:pPr>
            <w:r>
              <w:rPr>
                <w:rFonts w:hint="eastAsia"/>
                <w:color w:val="auto"/>
                <w:lang w:val="en-US" w:eastAsia="zh-CN"/>
              </w:rPr>
              <w:t>二、</w:t>
            </w:r>
            <w:r>
              <w:rPr>
                <w:rFonts w:hint="default"/>
                <w:color w:val="auto"/>
                <w:lang w:val="en-US" w:eastAsia="zh-CN"/>
              </w:rPr>
              <w:t>服务器端安全防护软件</w:t>
            </w:r>
          </w:p>
          <w:p w14:paraId="52B0CFBA">
            <w:pPr>
              <w:rPr>
                <w:rFonts w:hint="default"/>
                <w:color w:val="auto"/>
                <w:lang w:val="en-US" w:eastAsia="zh-CN"/>
              </w:rPr>
            </w:pPr>
            <w:r>
              <w:rPr>
                <w:rFonts w:hint="default"/>
                <w:color w:val="auto"/>
                <w:lang w:val="en-US" w:eastAsia="zh-CN"/>
              </w:rPr>
              <w:t>1.★产品支持纯软件交付，包含管理控制中心软件及终端客户端软件；本次提供服务器端安全防护软件不少于</w:t>
            </w:r>
            <w:r>
              <w:rPr>
                <w:rFonts w:hint="eastAsia"/>
                <w:color w:val="auto"/>
                <w:lang w:val="en-US" w:eastAsia="zh-CN"/>
              </w:rPr>
              <w:t>50</w:t>
            </w:r>
            <w:r>
              <w:rPr>
                <w:rFonts w:hint="default"/>
                <w:color w:val="auto"/>
                <w:lang w:val="en-US" w:eastAsia="zh-CN"/>
              </w:rPr>
              <w:t>套；单一管理控制中心可统一管理分别部署在WindowsPC、Windows服务器、Linux服务器以及国产化服务器的客户端软件；</w:t>
            </w:r>
          </w:p>
          <w:p w14:paraId="43CEEEA3">
            <w:pPr>
              <w:rPr>
                <w:rFonts w:hint="default"/>
                <w:color w:val="auto"/>
                <w:lang w:val="en-US" w:eastAsia="zh-CN"/>
              </w:rPr>
            </w:pPr>
            <w:r>
              <w:rPr>
                <w:rFonts w:hint="default"/>
                <w:color w:val="auto"/>
                <w:lang w:val="en-US" w:eastAsia="zh-CN"/>
              </w:rPr>
              <w:t>2.★提供勒索病毒整体防护体系入口，直观展示最近七天勒索病毒防护效果，包括已处置的恶意文件数量、已拦截可疑行为次数、已阻止的未知进程操作次数、已阻止的暴力破解攻击次数；（提供产品界面截图并加盖投标人公章）</w:t>
            </w:r>
          </w:p>
          <w:p w14:paraId="1A9784EF">
            <w:pPr>
              <w:rPr>
                <w:rFonts w:hint="default"/>
                <w:color w:val="auto"/>
                <w:lang w:val="en-US" w:eastAsia="zh-CN"/>
              </w:rPr>
            </w:pPr>
            <w:r>
              <w:rPr>
                <w:rFonts w:hint="default"/>
                <w:color w:val="auto"/>
                <w:lang w:val="en-US" w:eastAsia="zh-CN"/>
              </w:rPr>
              <w:t>3.支持跳转链接至云端威胁情报中心，针对已发生的威胁提供详细的分析结果，包含威胁分析、网络行为、静态分析、分析环境和影响分析；</w:t>
            </w:r>
          </w:p>
          <w:p w14:paraId="5A9AE5E5">
            <w:pPr>
              <w:rPr>
                <w:rFonts w:hint="default"/>
                <w:color w:val="auto"/>
                <w:lang w:val="en-US" w:eastAsia="zh-CN"/>
              </w:rPr>
            </w:pPr>
            <w:r>
              <w:rPr>
                <w:rFonts w:hint="default"/>
                <w:color w:val="auto"/>
                <w:lang w:val="en-US" w:eastAsia="zh-CN"/>
              </w:rPr>
              <w:t>4.★支持客户端的错峰升级，可根据实际情况控制客户端同时升级的最大数量，避免大量终端程序同时更新造成网络拥堵或I/O风暴；（提供产品界面截图并加盖投标人公章）</w:t>
            </w:r>
          </w:p>
          <w:p w14:paraId="40028869">
            <w:pPr>
              <w:rPr>
                <w:rFonts w:hint="default"/>
                <w:color w:val="auto"/>
                <w:lang w:val="en-US" w:eastAsia="zh-CN"/>
              </w:rPr>
            </w:pPr>
            <w:r>
              <w:rPr>
                <w:rFonts w:hint="default"/>
                <w:color w:val="auto"/>
                <w:lang w:val="en-US" w:eastAsia="zh-CN"/>
              </w:rPr>
              <w:t>5.支持对系统账号信息进行梳理，了解账号权限分布概况以及风险账号分布情况，可按照隐藏账号、可疑root权限账号、长期未使用账号、夜间登录、多IP登录进行账号分类查看，支持统计最近一年未修改密码的账户；</w:t>
            </w:r>
          </w:p>
          <w:p w14:paraId="60EA821F">
            <w:pPr>
              <w:rPr>
                <w:rFonts w:hint="default"/>
                <w:color w:val="auto"/>
                <w:lang w:val="en-US" w:eastAsia="zh-CN"/>
              </w:rPr>
            </w:pPr>
            <w:r>
              <w:rPr>
                <w:rFonts w:hint="default"/>
                <w:color w:val="auto"/>
                <w:lang w:val="en-US" w:eastAsia="zh-CN"/>
              </w:rPr>
              <w:t>6.支持windows服务器RDP远程登录保护，可开启RDP远程登录二次认证，以防止黑客对服务器的入侵；</w:t>
            </w:r>
            <w:r>
              <w:rPr>
                <w:rFonts w:hint="eastAsia"/>
                <w:color w:val="auto"/>
                <w:lang w:val="en-US" w:eastAsia="zh-CN"/>
              </w:rPr>
              <w:t>同时</w:t>
            </w:r>
            <w:r>
              <w:rPr>
                <w:rFonts w:hint="default"/>
                <w:color w:val="auto"/>
                <w:lang w:val="en-US" w:eastAsia="zh-CN"/>
              </w:rPr>
              <w:t>支持对Windows服务器的漏洞情况进行扫描，并查看漏洞具体情况及补丁号，并显示具体修复情况；</w:t>
            </w:r>
          </w:p>
          <w:p w14:paraId="03F3479B">
            <w:pPr>
              <w:rPr>
                <w:rFonts w:hint="default"/>
                <w:color w:val="auto"/>
                <w:lang w:val="en-US" w:eastAsia="zh-CN"/>
              </w:rPr>
            </w:pPr>
            <w:r>
              <w:rPr>
                <w:rFonts w:hint="default"/>
                <w:color w:val="auto"/>
                <w:lang w:val="en-US" w:eastAsia="zh-CN"/>
              </w:rPr>
              <w:t>7.支持Linux服务器SSH远程登录保护，可开启SSH远程登录二次认证，以防止黑客利用弱密码脆弱性对服务器的入侵；支持设置验证码验证或自定义密码验证，支持设置登录认证提示、生效时间段和免二次认证白名单；</w:t>
            </w:r>
          </w:p>
          <w:p w14:paraId="4A41CB46">
            <w:pPr>
              <w:rPr>
                <w:rFonts w:hint="default"/>
                <w:color w:val="auto"/>
                <w:lang w:val="en-US" w:eastAsia="zh-CN"/>
              </w:rPr>
            </w:pPr>
            <w:r>
              <w:rPr>
                <w:rFonts w:hint="eastAsia"/>
                <w:color w:val="auto"/>
                <w:lang w:val="en-US" w:eastAsia="zh-CN"/>
              </w:rPr>
              <w:t>8</w:t>
            </w:r>
            <w:r>
              <w:rPr>
                <w:rFonts w:hint="default"/>
                <w:color w:val="auto"/>
                <w:lang w:val="en-US" w:eastAsia="zh-CN"/>
              </w:rPr>
              <w:t>.★支持不同攻击阶段的主要攻击手法检测，对包括但不仅限于以下攻击手法精准检测，执行、持久化、权限提升、防御逃逸、凭证窃取、横向移动等攻击手法检测记录。显示事件详情，展示攻击手法对应的高危操作和威胁实体；（提供产品界面截图并加盖投标人公章）</w:t>
            </w:r>
          </w:p>
          <w:p w14:paraId="25BD9735">
            <w:pPr>
              <w:rPr>
                <w:rFonts w:hint="default"/>
                <w:color w:val="auto"/>
                <w:lang w:val="en-US" w:eastAsia="zh-CN"/>
              </w:rPr>
            </w:pPr>
            <w:r>
              <w:rPr>
                <w:rFonts w:hint="eastAsia"/>
                <w:color w:val="auto"/>
                <w:lang w:val="en-US" w:eastAsia="zh-CN"/>
              </w:rPr>
              <w:t>9</w:t>
            </w:r>
            <w:r>
              <w:rPr>
                <w:rFonts w:hint="default"/>
                <w:color w:val="auto"/>
                <w:lang w:val="en-US" w:eastAsia="zh-CN"/>
              </w:rPr>
              <w:t>.提供软件升级应不少于3年；</w:t>
            </w:r>
          </w:p>
          <w:p w14:paraId="0A922D70">
            <w:pPr>
              <w:rPr>
                <w:rFonts w:hint="default"/>
                <w:color w:val="auto"/>
                <w:lang w:val="en-US" w:eastAsia="zh-CN"/>
              </w:rPr>
            </w:pPr>
          </w:p>
          <w:p w14:paraId="4493C2CB">
            <w:pPr>
              <w:rPr>
                <w:rFonts w:hint="default"/>
                <w:color w:val="auto"/>
                <w:lang w:val="en-US" w:eastAsia="zh-CN"/>
              </w:rPr>
            </w:pPr>
            <w:r>
              <w:rPr>
                <w:rFonts w:hint="eastAsia"/>
                <w:color w:val="auto"/>
                <w:lang w:val="en-US" w:eastAsia="zh-CN"/>
              </w:rPr>
              <w:t>三、配套安全运营服务</w:t>
            </w:r>
          </w:p>
          <w:p w14:paraId="29CC5335">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1.★本次</w:t>
            </w:r>
            <w:r>
              <w:rPr>
                <w:rFonts w:hint="eastAsia" w:ascii="宋体" w:hAnsi="宋体" w:cs="宋体"/>
                <w:kern w:val="0"/>
                <w:szCs w:val="21"/>
                <w:highlight w:val="none"/>
                <w:lang w:val="en-US" w:eastAsia="zh-CN" w:bidi="ar"/>
              </w:rPr>
              <w:t>服务</w:t>
            </w:r>
            <w:r>
              <w:rPr>
                <w:rFonts w:hint="default" w:ascii="宋体" w:hAnsi="宋体" w:cs="宋体"/>
                <w:kern w:val="0"/>
                <w:szCs w:val="21"/>
                <w:highlight w:val="none"/>
                <w:lang w:val="en-US" w:eastAsia="zh-CN" w:bidi="ar"/>
              </w:rPr>
              <w:t>提供服务资产数量：10 个IP资产；服务频率：1 年7*24小时；</w:t>
            </w:r>
          </w:p>
          <w:p w14:paraId="34853E2C">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2.★服务工具支持全资产和精确资产两种模式暴露资产收集模式。收集到的暴露面信息至少包括域名、域名标题、IP地址、开放端口、资产指纹、移动端暴露面，并且能采集对应暴露资产的访问截图进行举证；（提供产品界面截图并加盖投标人公章）</w:t>
            </w:r>
          </w:p>
          <w:p w14:paraId="04C871E1">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3.投标方应当具备云端检测和分析平台，通过采集</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安全设备和工具的安全告警和安全日志，结合大数据分析、人工智能等技术手段，为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提供7*24小时持续不间断的安全威胁分析鉴定，同时在用户界面进行展示；</w:t>
            </w:r>
          </w:p>
          <w:p w14:paraId="4CE38FB4">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4.★针对服务范围内资产扫描到的高危可利用漏洞，投标方应当为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做好高危可利用漏洞的防护工作，帮助</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配置防护规则，保证</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不因此出现重大事件和损失；（提供产品界面截图并加盖投标人公章）</w:t>
            </w:r>
          </w:p>
          <w:p w14:paraId="358B9E20">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5.为了保证安全监测的准确率和服务质量，投标方应当支持为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自定义配置安全规则，以满足日益复杂的安全趋势所带来的安全监测需求；</w:t>
            </w:r>
          </w:p>
          <w:p w14:paraId="27573A58">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6.★投标方云端服务平台应当具备不少于40种丰富的策略检查工具，支持排查安全设备防护策略配置的合理性，确保安全设备上的安全策略始终处于最优水平，针对威胁能起到最好的防护效果；（提供产品界面截图并加盖投标人公章）</w:t>
            </w:r>
          </w:p>
          <w:p w14:paraId="6B54328A">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7.投标方应当为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提供7*24小时的安全守护，不论是白天、黑夜、节假日投标方都应该能做到7*24H在线服务，并且在节假日期间应当每日为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提供《节假日值守总结》；</w:t>
            </w:r>
          </w:p>
          <w:p w14:paraId="7FC9D32D">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8.为了保障服务质量和加强投标方与</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的沟通，投标方应当承诺为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配置一名经验丰富的云端安全专家作为专属服务经理，并且实时响应投标方咨询的网络安全相关问题；</w:t>
            </w:r>
          </w:p>
          <w:p w14:paraId="77B69259">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9.★投标方需为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提供服务成果展示门户（或用户Portal），可以直观地管理服务过程中生产的服务报告和交付物，包括但不限于《项目启动会PPT》、《首次安全风险分析报告》、《威胁情报》、《安全运营周报》、《安全运营月报》、《安全运营季报》、《年度总结汇报》等；（提供产品界面截图并加盖投标人公章）</w:t>
            </w:r>
          </w:p>
          <w:p w14:paraId="6DC9D33A">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10.为提升安全托管服务对于高级威胁事件研判分析、定性、遏制、调查溯源、运营数据统计等的效率和效果，投标方云端安全托管服务平台应具备安全大模型能力，服务微信群和服务工作台需支持安全大模型机器人入口，可以在使用平台时，随时调起机器人进行威胁运营全流程支持；</w:t>
            </w:r>
          </w:p>
          <w:p w14:paraId="7BCA1D92">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11.投标方提供的服务监控门户（或用户Portal）应具备服务质量可视化展示，投标方能通过可视化的数据，清晰地了解安全专家的服务水平，至少包括漏洞闭环率、漏洞平均响应时长、漏洞平均闭环时长、威胁闭环率、威胁平均响应时长、威胁平均闭环时长、事件闭环率、事件平均闭环时长，已验证投标方所承诺的服务指标；</w:t>
            </w:r>
          </w:p>
          <w:p w14:paraId="14FA6576">
            <w:pPr>
              <w:numPr>
                <w:ilvl w:val="0"/>
                <w:numId w:val="0"/>
              </w:numPr>
              <w:rPr>
                <w:rFonts w:hint="default" w:ascii="宋体" w:hAnsi="宋体" w:cs="宋体"/>
                <w:kern w:val="0"/>
                <w:szCs w:val="21"/>
                <w:highlight w:val="none"/>
                <w:lang w:val="en-US" w:eastAsia="zh-CN" w:bidi="ar"/>
              </w:rPr>
            </w:pPr>
            <w:r>
              <w:rPr>
                <w:rFonts w:hint="default" w:ascii="宋体" w:hAnsi="宋体" w:cs="宋体"/>
                <w:kern w:val="0"/>
                <w:szCs w:val="21"/>
                <w:highlight w:val="none"/>
                <w:lang w:val="en-US" w:eastAsia="zh-CN" w:bidi="ar"/>
              </w:rPr>
              <w:t>12.★为方便随时查看情况，投标方需为</w:t>
            </w:r>
            <w:r>
              <w:rPr>
                <w:rFonts w:hint="eastAsia" w:ascii="宋体" w:hAnsi="宋体" w:cs="宋体"/>
                <w:kern w:val="0"/>
                <w:szCs w:val="21"/>
                <w:highlight w:val="none"/>
                <w:lang w:val="en-US" w:eastAsia="zh-CN" w:bidi="ar"/>
              </w:rPr>
              <w:t>医院</w:t>
            </w:r>
            <w:r>
              <w:rPr>
                <w:rFonts w:hint="default" w:ascii="宋体" w:hAnsi="宋体" w:cs="宋体"/>
                <w:kern w:val="0"/>
                <w:szCs w:val="21"/>
                <w:highlight w:val="none"/>
                <w:lang w:val="en-US" w:eastAsia="zh-CN" w:bidi="ar"/>
              </w:rPr>
              <w:t>提供移动端服务过程展示门户（移动端Portal），通过清晰可视化的风险消减图和漏洞消减图，让客户清晰了解云端安全托管服务的风险消减机制，直观实时了解当前风险闭环情况；（提供产品界面截图并加盖投标人公章）</w:t>
            </w:r>
          </w:p>
          <w:p w14:paraId="4E9EBBE3">
            <w:pPr>
              <w:rPr>
                <w:rFonts w:hint="default"/>
                <w:color w:val="auto"/>
                <w:lang w:val="en-US" w:eastAsia="zh-CN"/>
              </w:rPr>
            </w:pPr>
            <w:r>
              <w:rPr>
                <w:rFonts w:hint="default" w:ascii="宋体" w:hAnsi="宋体" w:cs="宋体"/>
                <w:kern w:val="0"/>
                <w:szCs w:val="21"/>
                <w:highlight w:val="none"/>
                <w:lang w:val="en-US" w:eastAsia="zh-CN" w:bidi="ar"/>
              </w:rPr>
              <w:t>13.为了保障服务效率和质量，投标方的云端服务平台应当具备一套完善的流程编排引擎，能够为客户灵活编排、定义服务流程，并且定义服务的SLA，将服务过程中的各个关键环节按照一定的顺序和规则进行组织和安排，以达到高效、优质的服务目标；</w:t>
            </w:r>
          </w:p>
        </w:tc>
      </w:tr>
    </w:tbl>
    <w:p w14:paraId="077661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kOTlhYWMyZDUzY2I1YWQ0OWQ1YTdkMDcxZTc5YzkifQ=="/>
  </w:docVars>
  <w:rsids>
    <w:rsidRoot w:val="76FE3CE3"/>
    <w:rsid w:val="017005CD"/>
    <w:rsid w:val="04621AE7"/>
    <w:rsid w:val="04B949FE"/>
    <w:rsid w:val="064D26E6"/>
    <w:rsid w:val="096030F4"/>
    <w:rsid w:val="0A4468A4"/>
    <w:rsid w:val="0AD26BD0"/>
    <w:rsid w:val="0DEF78CB"/>
    <w:rsid w:val="10572E1C"/>
    <w:rsid w:val="137B1518"/>
    <w:rsid w:val="164C18E9"/>
    <w:rsid w:val="164E283F"/>
    <w:rsid w:val="18A75952"/>
    <w:rsid w:val="19F5143C"/>
    <w:rsid w:val="1A4D69BD"/>
    <w:rsid w:val="1B062094"/>
    <w:rsid w:val="1CAE2F40"/>
    <w:rsid w:val="1CB078CC"/>
    <w:rsid w:val="1CE034E1"/>
    <w:rsid w:val="1DD81ECB"/>
    <w:rsid w:val="21F615CE"/>
    <w:rsid w:val="22340084"/>
    <w:rsid w:val="22B578FD"/>
    <w:rsid w:val="232D1518"/>
    <w:rsid w:val="25F33B9A"/>
    <w:rsid w:val="27206206"/>
    <w:rsid w:val="27CE7A10"/>
    <w:rsid w:val="297C731B"/>
    <w:rsid w:val="2BD94334"/>
    <w:rsid w:val="2CC17B44"/>
    <w:rsid w:val="2F996B56"/>
    <w:rsid w:val="30B5176D"/>
    <w:rsid w:val="31A571D4"/>
    <w:rsid w:val="32127335"/>
    <w:rsid w:val="33053CF6"/>
    <w:rsid w:val="37E834C3"/>
    <w:rsid w:val="398B26B4"/>
    <w:rsid w:val="3B077069"/>
    <w:rsid w:val="3C131A3E"/>
    <w:rsid w:val="3DD81A5A"/>
    <w:rsid w:val="3F5FF56A"/>
    <w:rsid w:val="3FBAC017"/>
    <w:rsid w:val="3FE7115A"/>
    <w:rsid w:val="40901039"/>
    <w:rsid w:val="430127C3"/>
    <w:rsid w:val="464447EE"/>
    <w:rsid w:val="4D974F71"/>
    <w:rsid w:val="50F5792D"/>
    <w:rsid w:val="55FF1CA0"/>
    <w:rsid w:val="576815BF"/>
    <w:rsid w:val="57E73733"/>
    <w:rsid w:val="591E4255"/>
    <w:rsid w:val="5AC37195"/>
    <w:rsid w:val="5C340980"/>
    <w:rsid w:val="5D053262"/>
    <w:rsid w:val="5DF26A35"/>
    <w:rsid w:val="5FA05F72"/>
    <w:rsid w:val="6030505D"/>
    <w:rsid w:val="63665143"/>
    <w:rsid w:val="64EF2B20"/>
    <w:rsid w:val="67A45EAE"/>
    <w:rsid w:val="67EB407E"/>
    <w:rsid w:val="68386422"/>
    <w:rsid w:val="69A6055A"/>
    <w:rsid w:val="6A751FB7"/>
    <w:rsid w:val="6BD04C6F"/>
    <w:rsid w:val="6F4E06E1"/>
    <w:rsid w:val="70F6312A"/>
    <w:rsid w:val="7409457B"/>
    <w:rsid w:val="75766D28"/>
    <w:rsid w:val="75F821DD"/>
    <w:rsid w:val="769C644E"/>
    <w:rsid w:val="76FE3CE3"/>
    <w:rsid w:val="778BA2AA"/>
    <w:rsid w:val="7A230AC3"/>
    <w:rsid w:val="7BD77717"/>
    <w:rsid w:val="7C2A182E"/>
    <w:rsid w:val="7E2F04C5"/>
    <w:rsid w:val="7EF4F539"/>
    <w:rsid w:val="8790EC31"/>
    <w:rsid w:val="97B4ED4A"/>
    <w:rsid w:val="9DB73A16"/>
    <w:rsid w:val="BB5FE736"/>
    <w:rsid w:val="BBAEE34C"/>
    <w:rsid w:val="BCF60781"/>
    <w:rsid w:val="BDEE1135"/>
    <w:rsid w:val="CFFAC759"/>
    <w:rsid w:val="DBFF0567"/>
    <w:rsid w:val="E7CD1807"/>
    <w:rsid w:val="EBF9DBB6"/>
    <w:rsid w:val="F3FB9BB6"/>
    <w:rsid w:val="F9F7E651"/>
    <w:rsid w:val="FAB7EB9D"/>
    <w:rsid w:val="FBDFEDEF"/>
    <w:rsid w:val="FDEF8254"/>
    <w:rsid w:val="FF5D4046"/>
    <w:rsid w:val="FFBFCF80"/>
    <w:rsid w:val="FFFFA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next w:val="1"/>
    <w:unhideWhenUsed/>
    <w:qFormat/>
    <w:uiPriority w:val="99"/>
    <w:pPr>
      <w:tabs>
        <w:tab w:val="center" w:pos="4153"/>
        <w:tab w:val="right" w:pos="8306"/>
      </w:tabs>
      <w:snapToGrid w:val="0"/>
      <w:jc w:val="left"/>
    </w:pPr>
    <w:rPr>
      <w:kern w:val="0"/>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2667</Words>
  <Characters>2796</Characters>
  <Lines>0</Lines>
  <Paragraphs>0</Paragraphs>
  <TotalTime>3</TotalTime>
  <ScaleCrop>false</ScaleCrop>
  <LinksUpToDate>false</LinksUpToDate>
  <CharactersWithSpaces>2799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2023-12-25T06:27:00Z</dcterms:created>
  <dc:creator>想</dc:creator>
  <cp:lastModifiedBy>梅</cp:lastModifiedBy>
  <dcterms:modified xsi:type="dcterms:W3CDTF">2026-08-16T23:57:12Z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691FF14401DDB6E309377C6A904867CB_43</vt:lpwstr>
  </property>
  <property fmtid="{D5CDD505-2E9C-101B-9397-08002B2CF9AE}" pid="4" name="KSOTemplateDocerSaveRecord">
    <vt:lpwstr>eyJoZGlkIjoiMDY2MzM0MWIyYjJmMTYwNzg0NzY3ZDU5ZGZjYWM3NGIiLCJ1c2VySWQiOiI0NTAxNjAxMzgifQ==</vt:lpwstr>
  </property>
</Properties>
</file>