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19DDB">
      <w:pPr>
        <w:pStyle w:val="3"/>
        <w:jc w:val="center"/>
        <w:rPr>
          <w:color w:val="auto"/>
        </w:rPr>
      </w:pPr>
      <w:bookmarkStart w:id="0" w:name="_GoBack"/>
      <w:r>
        <w:rPr>
          <w:rFonts w:ascii="黑体" w:hAnsi="黑体"/>
          <w:color w:val="auto"/>
          <w:sz w:val="32"/>
        </w:rPr>
        <w:t>附件3</w:t>
      </w:r>
    </w:p>
    <w:p w14:paraId="3E9C74E1">
      <w:pPr>
        <w:jc w:val="center"/>
        <w:rPr>
          <w:color w:val="auto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服务要求</w:t>
      </w:r>
      <w:r>
        <w:rPr>
          <w:rFonts w:ascii="黑体" w:hAnsi="黑体"/>
          <w:color w:val="auto"/>
          <w:sz w:val="28"/>
        </w:rPr>
        <w:br w:type="textWrapping"/>
      </w:r>
      <w:r>
        <w:rPr>
          <w:rFonts w:ascii="黑体" w:hAnsi="黑体"/>
          <w:color w:val="auto"/>
          <w:sz w:val="28"/>
        </w:rPr>
        <w:t>（2026—2027年车辆维修和保养服务市场调研）</w:t>
      </w:r>
    </w:p>
    <w:p w14:paraId="6BA87CA4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本附件列明本项目服务要求，包括服务内容与范围、服务时限要求、质量与质保要求。请供应商逐项对照，在文末“供应商反馈”栏如实填写能否满足上述要求、有无问题或需协商之处；反馈意见低于本附件要求的，视为报名材料不完整。</w:t>
      </w:r>
    </w:p>
    <w:p w14:paraId="744D87ED">
      <w:pPr>
        <w:pStyle w:val="4"/>
        <w:rPr>
          <w:color w:val="auto"/>
        </w:rPr>
      </w:pPr>
      <w:r>
        <w:rPr>
          <w:rFonts w:ascii="黑体" w:hAnsi="黑体"/>
          <w:color w:val="auto"/>
          <w:sz w:val="28"/>
        </w:rPr>
        <w:t>一、服务内容与范围</w:t>
      </w:r>
    </w:p>
    <w:p w14:paraId="25F0C291">
      <w:pPr>
        <w:pStyle w:val="5"/>
        <w:rPr>
          <w:color w:val="auto"/>
        </w:rPr>
      </w:pPr>
      <w:r>
        <w:rPr>
          <w:rFonts w:ascii="楷体" w:hAnsi="楷体"/>
          <w:color w:val="auto"/>
          <w:sz w:val="24"/>
        </w:rPr>
        <w:t>（一）保养类</w:t>
      </w:r>
    </w:p>
    <w:p w14:paraId="2FBB92F6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按各车型规定周期更换发动机机油、机油滤清器、空气滤清器、空调滤清器、燃油滤清器、齿轮油、刹车油、防冻液、火花塞、蓄电池、传动皮带等；含日常检查、四轮定位、轮胎动平衡及轮胎修补更换。各车型适配材料规格（轮胎尺寸、油液规格及用量等）见附件2“车型技术参数”表。</w:t>
      </w:r>
    </w:p>
    <w:p w14:paraId="3E47173B">
      <w:pPr>
        <w:pStyle w:val="5"/>
        <w:rPr>
          <w:color w:val="auto"/>
        </w:rPr>
      </w:pPr>
      <w:r>
        <w:rPr>
          <w:rFonts w:ascii="楷体" w:hAnsi="楷体"/>
          <w:color w:val="auto"/>
          <w:sz w:val="24"/>
        </w:rPr>
        <w:t>（二）维修类</w:t>
      </w:r>
    </w:p>
    <w:p w14:paraId="697A9722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发动机、底盘、制动、转向、传动、电气、空调等系统的故障诊断与维修，以及事故维修、道路救援和拖车服务。</w:t>
      </w:r>
    </w:p>
    <w:p w14:paraId="427B9149">
      <w:pPr>
        <w:pStyle w:val="4"/>
        <w:rPr>
          <w:color w:val="auto"/>
        </w:rPr>
      </w:pPr>
      <w:r>
        <w:rPr>
          <w:rFonts w:ascii="黑体" w:hAnsi="黑体"/>
          <w:color w:val="auto"/>
          <w:sz w:val="28"/>
        </w:rPr>
        <w:t>二、服务时限要求</w:t>
      </w:r>
    </w:p>
    <w:tbl>
      <w:tblPr>
        <w:tblStyle w:val="32"/>
        <w:tblW w:w="9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4740"/>
        <w:gridCol w:w="3135"/>
      </w:tblGrid>
      <w:tr w14:paraId="1A435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145714E6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b/>
                <w:color w:val="auto"/>
                <w:sz w:val="19"/>
              </w:rPr>
              <w:t>环节</w:t>
            </w:r>
          </w:p>
        </w:tc>
        <w:tc>
          <w:tcPr>
            <w:tcW w:w="4740" w:type="dxa"/>
          </w:tcPr>
          <w:p w14:paraId="119C21CA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b/>
                <w:color w:val="auto"/>
                <w:sz w:val="19"/>
              </w:rPr>
              <w:t>要求</w:t>
            </w:r>
          </w:p>
        </w:tc>
        <w:tc>
          <w:tcPr>
            <w:tcW w:w="3135" w:type="dxa"/>
          </w:tcPr>
          <w:p w14:paraId="78A90922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b/>
                <w:color w:val="auto"/>
                <w:sz w:val="19"/>
              </w:rPr>
              <w:t>供应商反馈（请填写能否满足）</w:t>
            </w:r>
          </w:p>
        </w:tc>
      </w:tr>
      <w:tr w14:paraId="015D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27B46597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报修响应</w:t>
            </w:r>
          </w:p>
        </w:tc>
        <w:tc>
          <w:tcPr>
            <w:tcW w:w="4740" w:type="dxa"/>
          </w:tcPr>
          <w:p w14:paraId="7AD9A1CB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7×24小时（</w:t>
            </w: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含节假日）受理报修，全天候受理救护车故障报修，30分钟内响应并给出初步处置意见。</w:t>
            </w:r>
          </w:p>
        </w:tc>
        <w:tc>
          <w:tcPr>
            <w:tcW w:w="3135" w:type="dxa"/>
          </w:tcPr>
          <w:p w14:paraId="495B6498">
            <w:pPr>
              <w:rPr>
                <w:color w:val="auto"/>
              </w:rPr>
            </w:pPr>
          </w:p>
        </w:tc>
      </w:tr>
      <w:tr w14:paraId="6DCB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6C7E9406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到达现场</w:t>
            </w:r>
          </w:p>
        </w:tc>
        <w:tc>
          <w:tcPr>
            <w:tcW w:w="4740" w:type="dxa"/>
          </w:tcPr>
          <w:p w14:paraId="7A22A1C8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接到报修后2小时内响应；本地4小时到达现场维修。</w:t>
            </w:r>
          </w:p>
        </w:tc>
        <w:tc>
          <w:tcPr>
            <w:tcW w:w="3135" w:type="dxa"/>
          </w:tcPr>
          <w:p w14:paraId="5355F80E">
            <w:pPr>
              <w:rPr>
                <w:color w:val="auto"/>
              </w:rPr>
            </w:pPr>
          </w:p>
        </w:tc>
      </w:tr>
      <w:tr w14:paraId="2D1E4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61043A3B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一般故障修复</w:t>
            </w:r>
          </w:p>
        </w:tc>
        <w:tc>
          <w:tcPr>
            <w:tcW w:w="4740" w:type="dxa"/>
          </w:tcPr>
          <w:p w14:paraId="6C3E95DD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自车辆进厂（或现场处置）之日起3个工作日内修复完毕。</w:t>
            </w:r>
          </w:p>
        </w:tc>
        <w:tc>
          <w:tcPr>
            <w:tcW w:w="3135" w:type="dxa"/>
          </w:tcPr>
          <w:p w14:paraId="709DCF14">
            <w:pPr>
              <w:rPr>
                <w:color w:val="auto"/>
              </w:rPr>
            </w:pPr>
          </w:p>
        </w:tc>
      </w:tr>
      <w:tr w14:paraId="7479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7AAA0A75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需待件维修</w:t>
            </w:r>
          </w:p>
        </w:tc>
        <w:tc>
          <w:tcPr>
            <w:tcW w:w="4740" w:type="dxa"/>
          </w:tcPr>
          <w:p w14:paraId="7BA38443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因零配件采购需延期的，须在进厂当日告知医院并明确完成时间。</w:t>
            </w:r>
          </w:p>
        </w:tc>
        <w:tc>
          <w:tcPr>
            <w:tcW w:w="3135" w:type="dxa"/>
          </w:tcPr>
          <w:p w14:paraId="67E61B13">
            <w:pPr>
              <w:rPr>
                <w:color w:val="auto"/>
              </w:rPr>
            </w:pPr>
          </w:p>
        </w:tc>
      </w:tr>
      <w:tr w14:paraId="6CD1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0C2611EA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优先保障</w:t>
            </w:r>
          </w:p>
        </w:tc>
        <w:tc>
          <w:tcPr>
            <w:tcW w:w="4740" w:type="dxa"/>
          </w:tcPr>
          <w:p w14:paraId="0C295D54">
            <w:pPr>
              <w:rPr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9"/>
              </w:rPr>
              <w:t>救护车属于急救特种车辆，优先派工，不得按普通私家车排队；必要时安排加班或上门服务，</w:t>
            </w:r>
            <w:r>
              <w:rPr>
                <w:rFonts w:hint="eastAsia" w:ascii="微软雅黑" w:hAnsi="微软雅黑" w:eastAsia="微软雅黑" w:cs="微软雅黑"/>
                <w:color w:val="auto"/>
                <w:sz w:val="19"/>
              </w:rPr>
              <w:t>并提供备用转运车辆或拖车救援，保障急救工作尽量不中断。质保期内的拖车救援费用由供应商承担。</w:t>
            </w:r>
          </w:p>
        </w:tc>
        <w:tc>
          <w:tcPr>
            <w:tcW w:w="3135" w:type="dxa"/>
          </w:tcPr>
          <w:p w14:paraId="57D96708">
            <w:pPr>
              <w:rPr>
                <w:color w:val="auto"/>
              </w:rPr>
            </w:pPr>
          </w:p>
        </w:tc>
      </w:tr>
    </w:tbl>
    <w:p w14:paraId="7D377810">
      <w:pPr>
        <w:rPr>
          <w:color w:val="auto"/>
        </w:rPr>
      </w:pPr>
    </w:p>
    <w:p w14:paraId="05C965C0">
      <w:pPr>
        <w:pStyle w:val="4"/>
        <w:rPr>
          <w:color w:val="auto"/>
        </w:rPr>
      </w:pPr>
      <w:r>
        <w:rPr>
          <w:rFonts w:ascii="黑体" w:hAnsi="黑体"/>
          <w:color w:val="auto"/>
          <w:sz w:val="28"/>
        </w:rPr>
        <w:t>三、质量与质保要求</w:t>
      </w:r>
    </w:p>
    <w:p w14:paraId="1E986A3D">
      <w:pPr>
        <w:pStyle w:val="5"/>
        <w:rPr>
          <w:color w:val="auto"/>
        </w:rPr>
      </w:pPr>
      <w:r>
        <w:rPr>
          <w:rFonts w:ascii="楷体" w:hAnsi="楷体"/>
          <w:color w:val="auto"/>
          <w:sz w:val="24"/>
        </w:rPr>
        <w:t>（一）配件要求</w:t>
      </w:r>
    </w:p>
    <w:p w14:paraId="00307D21">
      <w:pPr>
        <w:ind w:firstLine="480"/>
        <w:rPr>
          <w:color w:val="auto"/>
        </w:rPr>
      </w:pPr>
      <w:r>
        <w:rPr>
          <w:rFonts w:hint="eastAsia" w:ascii="宋体" w:hAnsi="宋体" w:eastAsia="宋体" w:cs="宋体"/>
          <w:color w:val="auto"/>
        </w:rPr>
        <w:t>优先使用原厂配件或同质配件</w:t>
      </w:r>
      <w:r>
        <w:rPr>
          <w:rFonts w:ascii="宋体" w:hAnsi="宋体" w:eastAsia="宋体" w:cs="宋体"/>
          <w:color w:val="auto"/>
        </w:rPr>
        <w:t>，随件提供品牌、规格及合格证明；严禁使用假冒伪劣、“三无”及翻新配件。更换下的旧件交医院查验处置（保修索赔件除外）；大件及总成类维修应留存维修前后照片。</w:t>
      </w:r>
    </w:p>
    <w:p w14:paraId="10616031">
      <w:pPr>
        <w:pStyle w:val="5"/>
        <w:rPr>
          <w:color w:val="auto"/>
        </w:rPr>
      </w:pPr>
      <w:r>
        <w:rPr>
          <w:rFonts w:ascii="楷体" w:hAnsi="楷体"/>
          <w:color w:val="auto"/>
          <w:sz w:val="24"/>
        </w:rPr>
        <w:t>（二）质保要求</w:t>
      </w:r>
    </w:p>
    <w:p w14:paraId="638FB1C0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1.一般维修项目（含一级维护、小修及专项修理）质保期不少于3个月或5000公里（以先到者为准）；整车修理及发动机、变速器等总成修理质保期不少于6个月或2万公里。</w:t>
      </w:r>
    </w:p>
    <w:p w14:paraId="71823226">
      <w:pPr>
        <w:rPr>
          <w:color w:val="auto"/>
        </w:rPr>
      </w:pPr>
      <w:r>
        <w:rPr>
          <w:rFonts w:ascii="仿宋" w:hAnsi="仿宋"/>
          <w:color w:val="auto"/>
          <w:sz w:val="21"/>
        </w:rPr>
        <w:t>说明：本项要求高于《机动车维修管理规定》（交通运输部令2023年第14号）第三十六条规定的最低质量保证期标准（整车修理或总成修理20000公里或100日；二级维护5000公里或30日；一级维护、小修及专项修理2000公里或10日）。供应商公示的质保期不得低于本条款，并应在《机动车维修竣工出厂合格证》及维修结算清单中如实载明；质保期自维修竣工出厂之日起计算，行驶里程与日期指标以先达到者为准。</w:t>
      </w:r>
    </w:p>
    <w:p w14:paraId="6B46C2C0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2.质保期内因维修质量原因造成同一故障的，供应商免费返修，不得收取工时费和材料费。</w:t>
      </w:r>
    </w:p>
    <w:p w14:paraId="2B4504EC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3.因维修质量原因造成车辆无法正常使用且供应商3日内不能举证非维修原因的，应及时无偿返修；同一故障或维修项目经两次修理仍不能正常使用的，供应商应负责联系其他维修经营者并承担相应修理费用。</w:t>
      </w:r>
    </w:p>
    <w:p w14:paraId="0B00B52B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4.因配件质量或维修质量造成车辆损坏、延误医疗任务的，供应商承担相应赔偿责任。</w:t>
      </w:r>
    </w:p>
    <w:p w14:paraId="48D319EB">
      <w:pPr>
        <w:pStyle w:val="5"/>
        <w:rPr>
          <w:color w:val="auto"/>
        </w:rPr>
      </w:pPr>
      <w:r>
        <w:rPr>
          <w:rFonts w:ascii="楷体" w:hAnsi="楷体"/>
          <w:color w:val="auto"/>
          <w:sz w:val="24"/>
        </w:rPr>
        <w:t>（三）竣工手续</w:t>
      </w:r>
    </w:p>
    <w:p w14:paraId="167C8683">
      <w:pPr>
        <w:ind w:firstLine="480"/>
        <w:rPr>
          <w:color w:val="auto"/>
        </w:rPr>
      </w:pPr>
      <w:r>
        <w:rPr>
          <w:rFonts w:ascii="宋体" w:hAnsi="宋体" w:eastAsia="宋体" w:cs="宋体"/>
          <w:color w:val="auto"/>
        </w:rPr>
        <w:t>维修竣工后出具维修清单、结算清单和《机动车维修竣工出厂合格证》，经检验合格方可交付使用。维修质量应符合《机动车维修管理规定》（交通运输部令2023年第14号）的要求。</w:t>
      </w:r>
    </w:p>
    <w:p w14:paraId="29A964B8">
      <w:pPr>
        <w:pStyle w:val="4"/>
        <w:rPr>
          <w:color w:val="auto"/>
        </w:rPr>
      </w:pPr>
      <w:r>
        <w:rPr>
          <w:rFonts w:ascii="黑体" w:hAnsi="黑体"/>
          <w:color w:val="auto"/>
          <w:sz w:val="28"/>
        </w:rPr>
        <w:t>四、供应商反馈</w:t>
      </w:r>
    </w:p>
    <w:p w14:paraId="1E069ADE">
      <w:pPr>
        <w:rPr>
          <w:color w:val="auto"/>
        </w:rPr>
      </w:pPr>
      <w:r>
        <w:rPr>
          <w:rFonts w:ascii="宋体" w:hAnsi="宋体" w:eastAsia="宋体" w:cs="宋体"/>
          <w:color w:val="auto"/>
        </w:rPr>
        <w:t>请供应商对照上述服务要求逐项核对，在相应选项内打“√”；选择“部分能满足”或“不能满足”的，请具体说明原因及需协商的事项。</w:t>
      </w:r>
    </w:p>
    <w:tbl>
      <w:tblPr>
        <w:tblStyle w:val="3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2"/>
        <w:gridCol w:w="4532"/>
      </w:tblGrid>
      <w:tr w14:paraId="1F4A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</w:tcPr>
          <w:p w14:paraId="4713FC59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b/>
                <w:color w:val="auto"/>
                <w:sz w:val="19"/>
              </w:rPr>
              <w:t>反馈事项</w:t>
            </w:r>
          </w:p>
        </w:tc>
        <w:tc>
          <w:tcPr>
            <w:tcW w:w="1520" w:type="dxa"/>
          </w:tcPr>
          <w:p w14:paraId="48AAA326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b/>
                <w:color w:val="auto"/>
                <w:sz w:val="19"/>
              </w:rPr>
              <w:t>反馈意见</w:t>
            </w:r>
          </w:p>
        </w:tc>
      </w:tr>
      <w:tr w14:paraId="7F30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0C4AB15A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服务时限要求</w:t>
            </w:r>
          </w:p>
        </w:tc>
        <w:tc>
          <w:tcPr>
            <w:tcW w:w="4532" w:type="dxa"/>
          </w:tcPr>
          <w:p w14:paraId="2515F9FA">
            <w:pPr>
              <w:rPr>
                <w:color w:val="auto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9"/>
                <w:lang w:eastAsia="zh-CN"/>
              </w:rPr>
              <w:t>□</w:t>
            </w:r>
            <w:r>
              <w:rPr>
                <w:rFonts w:ascii="微软雅黑" w:hAnsi="微软雅黑" w:eastAsia="微软雅黑" w:cs="微软雅黑"/>
                <w:color w:val="auto"/>
                <w:sz w:val="19"/>
              </w:rPr>
              <w:t xml:space="preserve"> 完全能满足　　□ 部分能满足，需说明：　　　　　　　　　　　　　　□ 不能满足，原因：　　　　　　　　　　　　</w:t>
            </w:r>
          </w:p>
        </w:tc>
      </w:tr>
      <w:tr w14:paraId="20B5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06E9BBC6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质量与质保要求</w:t>
            </w:r>
          </w:p>
        </w:tc>
        <w:tc>
          <w:tcPr>
            <w:tcW w:w="4532" w:type="dxa"/>
          </w:tcPr>
          <w:p w14:paraId="10C09B72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□ 完全能满足　　□ 部分能满足，需说明：　　　　　　　　　　　　　　□ 不能满足，原因：　　　　　　　　　　　　</w:t>
            </w:r>
          </w:p>
        </w:tc>
      </w:tr>
      <w:tr w14:paraId="067E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2" w:type="dxa"/>
          </w:tcPr>
          <w:p w14:paraId="56BDB685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其他意见或需协商的事项</w:t>
            </w:r>
          </w:p>
        </w:tc>
        <w:tc>
          <w:tcPr>
            <w:tcW w:w="4532" w:type="dxa"/>
          </w:tcPr>
          <w:p w14:paraId="59533B6F">
            <w:pPr>
              <w:rPr>
                <w:color w:val="auto"/>
              </w:rPr>
            </w:pPr>
            <w:r>
              <w:rPr>
                <w:rFonts w:ascii="微软雅黑" w:hAnsi="微软雅黑" w:eastAsia="微软雅黑" w:cs="微软雅黑"/>
                <w:color w:val="auto"/>
                <w:sz w:val="19"/>
              </w:rPr>
              <w:t>（可另附说明）</w:t>
            </w:r>
          </w:p>
        </w:tc>
      </w:tr>
    </w:tbl>
    <w:p w14:paraId="5A2018E5">
      <w:pPr>
        <w:rPr>
          <w:color w:val="auto"/>
        </w:rPr>
      </w:pPr>
    </w:p>
    <w:p w14:paraId="299FB633">
      <w:pPr>
        <w:ind w:right="480"/>
        <w:jc w:val="right"/>
        <w:rPr>
          <w:color w:val="auto"/>
        </w:rPr>
      </w:pPr>
      <w:r>
        <w:rPr>
          <w:rFonts w:ascii="宋体" w:hAnsi="宋体" w:eastAsia="宋体" w:cs="宋体"/>
          <w:color w:val="auto"/>
        </w:rPr>
        <w:t>供应商名称（盖章）：＿＿＿＿＿＿＿＿＿＿＿</w:t>
      </w:r>
    </w:p>
    <w:p w14:paraId="7FEA37C5">
      <w:pPr>
        <w:ind w:right="480"/>
        <w:jc w:val="right"/>
        <w:rPr>
          <w:color w:val="auto"/>
        </w:rPr>
      </w:pPr>
      <w:r>
        <w:rPr>
          <w:rFonts w:ascii="宋体" w:hAnsi="宋体" w:eastAsia="宋体" w:cs="宋体"/>
          <w:color w:val="auto"/>
        </w:rPr>
        <w:t>法定代表人或授权代表（签字）：＿＿＿＿＿＿＿</w:t>
      </w:r>
    </w:p>
    <w:p w14:paraId="187C12D6">
      <w:pPr>
        <w:ind w:right="480"/>
        <w:jc w:val="right"/>
        <w:rPr>
          <w:color w:val="auto"/>
        </w:rPr>
      </w:pPr>
      <w:r>
        <w:rPr>
          <w:rFonts w:ascii="宋体" w:hAnsi="宋体" w:eastAsia="宋体" w:cs="宋体"/>
          <w:color w:val="auto"/>
        </w:rPr>
        <w:t>日期：　　　　年　　月　　日</w:t>
      </w:r>
    </w:p>
    <w:bookmarkEnd w:id="0"/>
    <w:sectPr>
      <w:pgSz w:w="12240" w:h="15840"/>
      <w:pgMar w:top="1440" w:right="1474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7" w:lineRule="auto"/>
      </w:pPr>
      <w:r>
        <w:separator/>
      </w:r>
    </w:p>
  </w:footnote>
  <w:footnote w:type="continuationSeparator" w:id="1">
    <w:p>
      <w:pPr>
        <w:spacing w:before="0" w:after="0" w:line="3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4424990"/>
    <w:rsid w:val="53B81939"/>
    <w:rsid w:val="778D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57" w:lineRule="auto"/>
    </w:pPr>
    <w:rPr>
      <w:rFonts w:ascii="宋体" w:hAnsi="宋体" w:eastAsia="宋体" w:cs="宋体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吴宇祥</cp:lastModifiedBy>
  <dcterms:modified xsi:type="dcterms:W3CDTF">2026-10-20T02:52:20Z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265282BE638A4355A4C30DF491551970_13</vt:lpwstr>
  </property>
</Properties>
</file>